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C502C" w14:textId="4EB49964" w:rsidR="008A4A6F" w:rsidRPr="00435DC8" w:rsidRDefault="008A4A6F" w:rsidP="008A4A6F">
      <w:pPr>
        <w:pStyle w:val="Header"/>
        <w:tabs>
          <w:tab w:val="left" w:pos="2160"/>
        </w:tabs>
        <w:ind w:left="2127" w:hanging="2127"/>
        <w:jc w:val="both"/>
        <w:rPr>
          <w:rFonts w:ascii="Arial" w:hAnsi="Arial" w:cs="Arial"/>
          <w:noProof w:val="0"/>
          <w:sz w:val="22"/>
        </w:rPr>
      </w:pPr>
      <w:bookmarkStart w:id="0" w:name="OLE_LINK5"/>
      <w:r w:rsidRPr="0083294C">
        <w:rPr>
          <w:rFonts w:ascii="Arial" w:hAnsi="Arial" w:cs="Arial"/>
          <w:noProof w:val="0"/>
          <w:sz w:val="22"/>
        </w:rPr>
        <w:t>3GPP TSG-RAN WG4 Meeting</w:t>
      </w:r>
      <w:r w:rsidR="00F952AE">
        <w:rPr>
          <w:rFonts w:ascii="Arial" w:hAnsi="Arial" w:cs="Arial"/>
          <w:noProof w:val="0"/>
          <w:sz w:val="22"/>
        </w:rPr>
        <w:t xml:space="preserve"> </w:t>
      </w:r>
      <w:r w:rsidR="004F3ABB">
        <w:rPr>
          <w:rFonts w:ascii="Arial" w:hAnsi="Arial" w:cs="Arial"/>
          <w:noProof w:val="0"/>
          <w:sz w:val="22"/>
        </w:rPr>
        <w:t>NR</w:t>
      </w:r>
      <w:r w:rsidR="001E48BD">
        <w:rPr>
          <w:rFonts w:ascii="Arial" w:hAnsi="Arial" w:cs="Arial"/>
          <w:noProof w:val="0"/>
          <w:sz w:val="22"/>
        </w:rPr>
        <w:t xml:space="preserve"> </w:t>
      </w:r>
      <w:r w:rsidR="004F3ABB">
        <w:rPr>
          <w:rFonts w:ascii="Arial" w:hAnsi="Arial" w:cs="Arial"/>
          <w:noProof w:val="0"/>
          <w:sz w:val="22"/>
        </w:rPr>
        <w:t>#</w:t>
      </w:r>
      <w:r w:rsidR="00F8140F">
        <w:rPr>
          <w:rFonts w:ascii="Arial" w:hAnsi="Arial" w:cs="Arial"/>
          <w:noProof w:val="0"/>
          <w:sz w:val="22"/>
        </w:rPr>
        <w:t>3</w:t>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4F3ABB">
        <w:rPr>
          <w:rFonts w:ascii="Arial" w:hAnsi="Arial" w:cs="Arial"/>
          <w:noProof w:val="0"/>
          <w:sz w:val="22"/>
        </w:rPr>
        <w:tab/>
      </w:r>
      <w:r w:rsidR="00435DC8">
        <w:rPr>
          <w:rFonts w:ascii="Arial" w:hAnsi="Arial" w:cs="Arial"/>
          <w:noProof w:val="0"/>
          <w:sz w:val="22"/>
        </w:rPr>
        <w:tab/>
        <w:t xml:space="preserve">   </w:t>
      </w:r>
      <w:r w:rsidR="00435DC8" w:rsidRPr="00435DC8">
        <w:rPr>
          <w:rFonts w:ascii="Arial" w:hAnsi="Arial" w:cs="Arial"/>
          <w:noProof w:val="0"/>
          <w:sz w:val="22"/>
        </w:rPr>
        <w:t>R4-170</w:t>
      </w:r>
      <w:r w:rsidR="00F8140F">
        <w:rPr>
          <w:rFonts w:ascii="Arial" w:hAnsi="Arial" w:cs="Arial"/>
          <w:noProof w:val="0"/>
          <w:sz w:val="22"/>
        </w:rPr>
        <w:t>9679</w:t>
      </w:r>
    </w:p>
    <w:p w14:paraId="135C89D8" w14:textId="1AF413C6" w:rsidR="008A4A6F" w:rsidRPr="0083294C" w:rsidRDefault="00F8140F" w:rsidP="008A4A6F">
      <w:pPr>
        <w:pStyle w:val="CRCoverPage"/>
        <w:tabs>
          <w:tab w:val="right" w:pos="9639"/>
        </w:tabs>
        <w:spacing w:after="0"/>
        <w:rPr>
          <w:rFonts w:ascii="Arial" w:hAnsi="Arial" w:cs="Arial"/>
          <w:b/>
          <w:sz w:val="22"/>
          <w:lang w:eastAsia="zh-CN"/>
        </w:rPr>
      </w:pPr>
      <w:r>
        <w:rPr>
          <w:rFonts w:ascii="Arial" w:hAnsi="Arial" w:cs="Arial"/>
          <w:b/>
          <w:sz w:val="22"/>
        </w:rPr>
        <w:t>Nagoya</w:t>
      </w:r>
      <w:r w:rsidR="008A4A6F" w:rsidRPr="0083294C">
        <w:rPr>
          <w:rFonts w:ascii="Arial" w:hAnsi="Arial" w:cs="Arial"/>
          <w:b/>
          <w:sz w:val="22"/>
        </w:rPr>
        <w:t xml:space="preserve">, </w:t>
      </w:r>
      <w:r>
        <w:rPr>
          <w:rFonts w:ascii="Arial" w:hAnsi="Arial" w:cs="Arial"/>
          <w:b/>
          <w:sz w:val="22"/>
        </w:rPr>
        <w:t>Japan</w:t>
      </w:r>
      <w:r w:rsidR="008A4A6F">
        <w:rPr>
          <w:rFonts w:ascii="Arial" w:hAnsi="Arial" w:cs="Arial"/>
          <w:b/>
          <w:sz w:val="22"/>
        </w:rPr>
        <w:t xml:space="preserve">, </w:t>
      </w:r>
      <w:r>
        <w:rPr>
          <w:rFonts w:ascii="Arial" w:hAnsi="Arial" w:cs="Arial"/>
          <w:b/>
          <w:sz w:val="22"/>
        </w:rPr>
        <w:t>18</w:t>
      </w:r>
      <w:r w:rsidR="008A4A6F">
        <w:rPr>
          <w:rFonts w:ascii="Arial" w:hAnsi="Arial" w:cs="Arial"/>
          <w:b/>
          <w:sz w:val="22"/>
        </w:rPr>
        <w:t xml:space="preserve"> </w:t>
      </w:r>
      <w:r w:rsidR="00C446D3">
        <w:rPr>
          <w:rFonts w:ascii="Arial" w:hAnsi="Arial" w:cs="Arial"/>
          <w:b/>
          <w:sz w:val="22"/>
        </w:rPr>
        <w:t xml:space="preserve">– </w:t>
      </w:r>
      <w:r w:rsidR="004F3ABB">
        <w:rPr>
          <w:rFonts w:ascii="Arial" w:hAnsi="Arial" w:cs="Arial"/>
          <w:b/>
          <w:sz w:val="22"/>
        </w:rPr>
        <w:t>2</w:t>
      </w:r>
      <w:r>
        <w:rPr>
          <w:rFonts w:ascii="Arial" w:hAnsi="Arial" w:cs="Arial"/>
          <w:b/>
          <w:sz w:val="22"/>
        </w:rPr>
        <w:t>1</w:t>
      </w:r>
      <w:r w:rsidR="008A4A6F" w:rsidRPr="0083294C">
        <w:rPr>
          <w:rFonts w:ascii="Arial" w:hAnsi="Arial" w:cs="Arial"/>
          <w:b/>
          <w:sz w:val="22"/>
        </w:rPr>
        <w:t xml:space="preserve"> </w:t>
      </w:r>
      <w:r>
        <w:rPr>
          <w:rFonts w:ascii="Arial" w:hAnsi="Arial" w:cs="Arial"/>
          <w:b/>
          <w:sz w:val="22"/>
        </w:rPr>
        <w:t>September</w:t>
      </w:r>
      <w:r w:rsidR="008A4A6F" w:rsidRPr="0083294C">
        <w:rPr>
          <w:rFonts w:ascii="Arial" w:hAnsi="Arial" w:cs="Arial"/>
          <w:b/>
          <w:sz w:val="22"/>
        </w:rPr>
        <w:t>, 2017</w:t>
      </w:r>
    </w:p>
    <w:bookmarkEnd w:id="0"/>
    <w:p w14:paraId="6020DF7C" w14:textId="77777777" w:rsidR="008A4A6F" w:rsidRPr="0083294C" w:rsidRDefault="008A4A6F" w:rsidP="008A4A6F">
      <w:pPr>
        <w:pStyle w:val="Footer"/>
        <w:jc w:val="both"/>
        <w:rPr>
          <w:rFonts w:ascii="Arial" w:hAnsi="Arial" w:cs="Arial"/>
          <w:noProof w:val="0"/>
          <w:lang w:val="en-GB"/>
        </w:rPr>
      </w:pPr>
    </w:p>
    <w:p w14:paraId="682A84D7" w14:textId="64CEF9A1" w:rsidR="008A4A6F" w:rsidRPr="008C1233" w:rsidRDefault="008A4A6F" w:rsidP="009630B9">
      <w:pPr>
        <w:ind w:left="2100" w:hanging="2100"/>
        <w:jc w:val="both"/>
        <w:rPr>
          <w:rFonts w:ascii="Arial" w:hAnsi="Arial" w:cs="Arial"/>
          <w:sz w:val="24"/>
        </w:rPr>
      </w:pPr>
      <w:r w:rsidRPr="0083294C">
        <w:rPr>
          <w:rFonts w:ascii="Arial" w:hAnsi="Arial" w:cs="Arial"/>
          <w:b/>
          <w:sz w:val="24"/>
        </w:rPr>
        <w:t>Title:</w:t>
      </w:r>
      <w:r w:rsidR="009630B9">
        <w:rPr>
          <w:rFonts w:ascii="Arial" w:hAnsi="Arial" w:cs="Arial"/>
          <w:sz w:val="24"/>
        </w:rPr>
        <w:t xml:space="preserve"> </w:t>
      </w:r>
      <w:r w:rsidR="009630B9">
        <w:rPr>
          <w:rFonts w:ascii="Arial" w:hAnsi="Arial" w:cs="Arial"/>
          <w:sz w:val="24"/>
        </w:rPr>
        <w:tab/>
      </w:r>
      <w:r w:rsidR="00F56818">
        <w:rPr>
          <w:rFonts w:ascii="Arial" w:hAnsi="Arial" w:cs="Arial"/>
          <w:sz w:val="24"/>
        </w:rPr>
        <w:t>Further d</w:t>
      </w:r>
      <w:r w:rsidR="008C1233" w:rsidRPr="008C1233">
        <w:rPr>
          <w:rFonts w:ascii="Arial" w:hAnsi="Arial" w:cs="Arial"/>
          <w:sz w:val="24"/>
        </w:rPr>
        <w:t xml:space="preserve">iscussion on definitions of </w:t>
      </w:r>
      <w:r w:rsidR="001042B1">
        <w:rPr>
          <w:rFonts w:ascii="Arial" w:hAnsi="Arial" w:cs="Arial"/>
          <w:sz w:val="24"/>
        </w:rPr>
        <w:t>SSTD</w:t>
      </w:r>
      <w:r w:rsidR="008C1233" w:rsidRPr="008C1233">
        <w:rPr>
          <w:rFonts w:ascii="Arial" w:hAnsi="Arial" w:cs="Arial"/>
          <w:sz w:val="24"/>
        </w:rPr>
        <w:t xml:space="preserve"> measurements</w:t>
      </w:r>
    </w:p>
    <w:p w14:paraId="4237226B" w14:textId="77777777"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Pr="0083294C">
        <w:rPr>
          <w:rFonts w:ascii="Arial" w:hAnsi="Arial" w:cs="Arial"/>
          <w:sz w:val="24"/>
        </w:rPr>
        <w:t>Huawei, HiSilicon</w:t>
      </w:r>
    </w:p>
    <w:p w14:paraId="58303571" w14:textId="6EEA6C20"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DD6070">
        <w:rPr>
          <w:rFonts w:ascii="Arial" w:hAnsi="Arial" w:cs="Arial"/>
          <w:sz w:val="24"/>
        </w:rPr>
        <w:t>3.5.5</w:t>
      </w:r>
      <w:bookmarkStart w:id="1" w:name="_GoBack"/>
      <w:bookmarkEnd w:id="1"/>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Heading1"/>
        <w:jc w:val="both"/>
        <w:rPr>
          <w:rFonts w:ascii="Arial" w:hAnsi="Arial" w:cs="Arial"/>
          <w:lang w:val="en-US"/>
        </w:rPr>
      </w:pPr>
      <w:r w:rsidRPr="00C560A6">
        <w:rPr>
          <w:rFonts w:ascii="Arial" w:hAnsi="Arial" w:cs="Arial"/>
          <w:lang w:val="en-US"/>
        </w:rPr>
        <w:t>Introduction</w:t>
      </w:r>
    </w:p>
    <w:p w14:paraId="06F17E7F" w14:textId="07054160" w:rsidR="00C81E8E" w:rsidRDefault="002F5416" w:rsidP="00C81E8E">
      <w:pPr>
        <w:jc w:val="both"/>
      </w:pPr>
      <w:r>
        <w:t xml:space="preserve">Definition of </w:t>
      </w:r>
      <w:r w:rsidR="00C92C08" w:rsidRPr="008D619F">
        <w:rPr>
          <w:rFonts w:eastAsia="MS Mincho" w:hint="eastAsia"/>
          <w:lang w:eastAsia="ja-JP"/>
        </w:rPr>
        <w:t xml:space="preserve">SFN and subframe timing </w:t>
      </w:r>
      <w:r w:rsidR="00C92C08">
        <w:rPr>
          <w:rFonts w:eastAsia="MS Mincho" w:hint="eastAsia"/>
          <w:lang w:eastAsia="ja-JP"/>
        </w:rPr>
        <w:t>difference</w:t>
      </w:r>
      <w:r w:rsidR="00C92C08" w:rsidRPr="008D619F">
        <w:rPr>
          <w:rFonts w:eastAsia="MS Mincho" w:hint="eastAsia"/>
          <w:lang w:eastAsia="ja-JP"/>
        </w:rPr>
        <w:t xml:space="preserve"> (SSTD)</w:t>
      </w:r>
      <w:r w:rsidR="00C92C08">
        <w:t xml:space="preserve"> </w:t>
      </w:r>
      <w:r>
        <w:t>measurement for LTE NR dual connectivity</w:t>
      </w:r>
      <w:r w:rsidR="00E35F34">
        <w:t xml:space="preserve"> (DC)</w:t>
      </w:r>
      <w:r>
        <w:rPr>
          <w:rFonts w:hint="eastAsia"/>
        </w:rPr>
        <w:t xml:space="preserve"> </w:t>
      </w:r>
      <w:r w:rsidR="002163AB">
        <w:rPr>
          <w:rFonts w:hint="eastAsia"/>
        </w:rPr>
        <w:t xml:space="preserve">was discussed </w:t>
      </w:r>
      <w:r>
        <w:rPr>
          <w:rFonts w:hint="eastAsia"/>
        </w:rPr>
        <w:t>in Qingdao</w:t>
      </w:r>
      <w:r w:rsidR="002163AB">
        <w:rPr>
          <w:rFonts w:hint="eastAsia"/>
        </w:rPr>
        <w:t xml:space="preserve"> RAN4 </w:t>
      </w:r>
      <w:r>
        <w:t>ad-hoc</w:t>
      </w:r>
      <w:r w:rsidR="002163AB">
        <w:rPr>
          <w:rFonts w:hint="eastAsia"/>
        </w:rPr>
        <w:t xml:space="preserve"> meeting </w:t>
      </w:r>
      <w:r w:rsidR="002163AB">
        <w:fldChar w:fldCharType="begin"/>
      </w:r>
      <w:r w:rsidR="002163AB">
        <w:instrText xml:space="preserve"> </w:instrText>
      </w:r>
      <w:r w:rsidR="002163AB">
        <w:rPr>
          <w:rFonts w:hint="eastAsia"/>
        </w:rPr>
        <w:instrText>REF _Ref480902077 \h</w:instrText>
      </w:r>
      <w:r w:rsidR="002163AB">
        <w:instrText xml:space="preserve"> </w:instrText>
      </w:r>
      <w:r w:rsidR="002163AB">
        <w:fldChar w:fldCharType="separate"/>
      </w:r>
      <w:r w:rsidR="002163AB" w:rsidRPr="0073243D">
        <w:rPr>
          <w:rFonts w:cs="Times New Roman"/>
        </w:rPr>
        <w:t>[</w:t>
      </w:r>
      <w:r w:rsidR="002163AB">
        <w:rPr>
          <w:rFonts w:cs="Times New Roman"/>
          <w:noProof/>
        </w:rPr>
        <w:t>1</w:t>
      </w:r>
      <w:r w:rsidR="002163AB">
        <w:fldChar w:fldCharType="end"/>
      </w:r>
      <w:r w:rsidR="002163AB">
        <w:t>]</w:t>
      </w:r>
      <w:r w:rsidR="00F56818">
        <w:t xml:space="preserve">. </w:t>
      </w:r>
      <w:r w:rsidR="002163AB">
        <w:t xml:space="preserve">How to proceed the </w:t>
      </w:r>
      <w:r>
        <w:t>definition</w:t>
      </w:r>
      <w:r w:rsidR="002163AB">
        <w:t xml:space="preserve"> was finally captured in the approved WF </w:t>
      </w:r>
      <w:r w:rsidR="002163AB">
        <w:fldChar w:fldCharType="begin"/>
      </w:r>
      <w:r w:rsidR="002163AB">
        <w:instrText xml:space="preserve"> REF _Ref484608811 \h </w:instrText>
      </w:r>
      <w:r w:rsidR="002163AB">
        <w:fldChar w:fldCharType="separate"/>
      </w:r>
      <w:r w:rsidR="002163AB">
        <w:rPr>
          <w:rFonts w:eastAsia="Gill Sans MT Pro Light" w:cs="Times New Roman"/>
          <w:lang w:val="en-GB"/>
        </w:rPr>
        <w:t>[</w:t>
      </w:r>
      <w:r w:rsidR="002163AB">
        <w:rPr>
          <w:rFonts w:eastAsia="Gill Sans MT Pro Light" w:cs="Times New Roman"/>
          <w:noProof/>
          <w:lang w:val="en-GB"/>
        </w:rPr>
        <w:t>2</w:t>
      </w:r>
      <w:r w:rsidR="002163AB">
        <w:fldChar w:fldCharType="end"/>
      </w:r>
      <w:r w:rsidR="002163AB">
        <w:t>]:</w:t>
      </w:r>
    </w:p>
    <w:tbl>
      <w:tblPr>
        <w:tblStyle w:val="TableGrid"/>
        <w:tblW w:w="0" w:type="auto"/>
        <w:tblLook w:val="04A0" w:firstRow="1" w:lastRow="0" w:firstColumn="1" w:lastColumn="0" w:noHBand="0" w:noVBand="1"/>
      </w:tblPr>
      <w:tblGrid>
        <w:gridCol w:w="8296"/>
      </w:tblGrid>
      <w:tr w:rsidR="002163AB" w14:paraId="5DE15451" w14:textId="77777777" w:rsidTr="002163AB">
        <w:tc>
          <w:tcPr>
            <w:tcW w:w="8296" w:type="dxa"/>
          </w:tcPr>
          <w:p w14:paraId="5CC1AA97" w14:textId="128C79BD" w:rsidR="002163AB" w:rsidRDefault="002F5416" w:rsidP="002163AB">
            <w:pPr>
              <w:jc w:val="both"/>
              <w:rPr>
                <w:b/>
              </w:rPr>
            </w:pPr>
            <w:r>
              <w:rPr>
                <w:b/>
              </w:rPr>
              <w:t>1.3</w:t>
            </w:r>
            <w:r w:rsidR="002163AB" w:rsidRPr="002163AB">
              <w:rPr>
                <w:b/>
              </w:rPr>
              <w:tab/>
            </w:r>
            <w:r w:rsidRPr="002F5416">
              <w:rPr>
                <w:b/>
              </w:rPr>
              <w:t>SSTD requirements for LTE NR dual connectivity</w:t>
            </w:r>
          </w:p>
          <w:p w14:paraId="677545BF" w14:textId="77777777" w:rsidR="002F5416" w:rsidRDefault="002F5416" w:rsidP="002F5416">
            <w:r>
              <w:t>Contributions are invited from interested companies covering</w:t>
            </w:r>
          </w:p>
          <w:p w14:paraId="19018F06" w14:textId="77777777" w:rsidR="002F5416" w:rsidRDefault="002F5416" w:rsidP="002F5416">
            <w:pPr>
              <w:numPr>
                <w:ilvl w:val="0"/>
                <w:numId w:val="9"/>
              </w:numPr>
            </w:pPr>
            <w:r>
              <w:t>Motivation to define SSTD measurement for LTE NR dual connectivity</w:t>
            </w:r>
          </w:p>
          <w:p w14:paraId="669E6962" w14:textId="77777777" w:rsidR="002F5416" w:rsidRDefault="002F5416" w:rsidP="002F5416">
            <w:pPr>
              <w:numPr>
                <w:ilvl w:val="0"/>
                <w:numId w:val="9"/>
              </w:numPr>
            </w:pPr>
            <w:r>
              <w:t>Analysis of UE complexity for SSTD measurement</w:t>
            </w:r>
          </w:p>
          <w:p w14:paraId="15F11C8F" w14:textId="7FAFF927" w:rsidR="002163AB" w:rsidRPr="002163AB" w:rsidRDefault="002F5416" w:rsidP="002F5416">
            <w:pPr>
              <w:numPr>
                <w:ilvl w:val="0"/>
                <w:numId w:val="9"/>
              </w:numPr>
            </w:pPr>
            <w:r>
              <w:t>Definition of SSTD</w:t>
            </w:r>
          </w:p>
        </w:tc>
      </w:tr>
    </w:tbl>
    <w:p w14:paraId="5830967A" w14:textId="536B46DD" w:rsidR="002163AB" w:rsidRDefault="00F56818" w:rsidP="00C81E8E">
      <w:pPr>
        <w:jc w:val="both"/>
      </w:pPr>
      <w:r>
        <w:t xml:space="preserve">After that the definition of SSTD </w:t>
      </w:r>
      <w:r w:rsidR="00F060FA">
        <w:t>was</w:t>
      </w:r>
      <w:r>
        <w:t xml:space="preserve"> further discussed in the following Berlin RAN4 #84 meeting. However, little progress was made</w:t>
      </w:r>
      <w:r w:rsidR="00F060FA">
        <w:t xml:space="preserve"> mainly because the discussion time is limited and companies have different understanding on the benefit</w:t>
      </w:r>
      <w:r w:rsidR="000A7BAA">
        <w:t xml:space="preserve">s received from </w:t>
      </w:r>
      <w:r w:rsidR="00F060FA">
        <w:t xml:space="preserve">modifying </w:t>
      </w:r>
      <w:r w:rsidR="000A7BAA">
        <w:t xml:space="preserve">the definition of </w:t>
      </w:r>
      <w:r w:rsidR="00F060FA">
        <w:t xml:space="preserve">SSTD </w:t>
      </w:r>
      <w:r w:rsidR="000A7BAA">
        <w:t>measurement</w:t>
      </w:r>
      <w:r w:rsidR="00F060FA">
        <w:t xml:space="preserve">. </w:t>
      </w:r>
      <w:r w:rsidR="002163AB">
        <w:t>I</w:t>
      </w:r>
      <w:r w:rsidR="002163AB">
        <w:rPr>
          <w:rFonts w:hint="eastAsia"/>
        </w:rPr>
        <w:t xml:space="preserve">n </w:t>
      </w:r>
      <w:r w:rsidR="002163AB">
        <w:t xml:space="preserve">this contribution, we </w:t>
      </w:r>
      <w:r w:rsidR="00F060FA">
        <w:t xml:space="preserve">further discuss </w:t>
      </w:r>
      <w:r w:rsidR="002163AB">
        <w:t xml:space="preserve">on </w:t>
      </w:r>
      <w:r w:rsidR="00F060FA">
        <w:t xml:space="preserve">the </w:t>
      </w:r>
      <w:r w:rsidR="002163AB">
        <w:t xml:space="preserve">definition of </w:t>
      </w:r>
      <w:r w:rsidR="00EE3680">
        <w:t>SSTD</w:t>
      </w:r>
      <w:r w:rsidR="00085D33">
        <w:t xml:space="preserve"> measurement</w:t>
      </w:r>
      <w:r w:rsidR="002163AB">
        <w:t xml:space="preserve">. </w:t>
      </w:r>
    </w:p>
    <w:p w14:paraId="798E7792" w14:textId="3914DA9E" w:rsidR="00C81E8E" w:rsidRPr="00C560A6" w:rsidRDefault="00924E6F" w:rsidP="00C81E8E">
      <w:pPr>
        <w:pStyle w:val="Heading1"/>
        <w:jc w:val="both"/>
        <w:rPr>
          <w:rFonts w:ascii="Arial" w:hAnsi="Arial" w:cs="Arial"/>
          <w:lang w:val="en-US"/>
        </w:rPr>
      </w:pPr>
      <w:r>
        <w:rPr>
          <w:rFonts w:ascii="Arial" w:hAnsi="Arial" w:cs="Arial"/>
          <w:lang w:val="en-US"/>
        </w:rPr>
        <w:t xml:space="preserve">Backgrounds </w:t>
      </w:r>
      <w:r w:rsidR="00085D33">
        <w:rPr>
          <w:rFonts w:ascii="Arial" w:hAnsi="Arial" w:cs="Arial"/>
          <w:lang w:val="en-US"/>
        </w:rPr>
        <w:t xml:space="preserve">of </w:t>
      </w:r>
      <w:r>
        <w:rPr>
          <w:rFonts w:ascii="Arial" w:hAnsi="Arial" w:cs="Arial"/>
          <w:lang w:val="en-US"/>
        </w:rPr>
        <w:t>SSTD measurement</w:t>
      </w:r>
    </w:p>
    <w:p w14:paraId="0F7F15A9" w14:textId="3DF3900F" w:rsidR="0097202C" w:rsidRDefault="00085D33" w:rsidP="00C81E8E">
      <w:pPr>
        <w:rPr>
          <w:rFonts w:cs="Arial"/>
          <w:lang w:eastAsia="en-US"/>
        </w:rPr>
      </w:pPr>
      <w:r>
        <w:rPr>
          <w:rFonts w:cs="Arial"/>
          <w:lang w:eastAsia="en-US"/>
        </w:rPr>
        <w:t xml:space="preserve">In the LTE the corresponding definitions of </w:t>
      </w:r>
      <w:r w:rsidR="00C92C08">
        <w:rPr>
          <w:rFonts w:cs="Arial"/>
          <w:lang w:eastAsia="en-US"/>
        </w:rPr>
        <w:t>SSTD</w:t>
      </w:r>
      <w:r>
        <w:rPr>
          <w:rFonts w:cs="Arial"/>
          <w:lang w:eastAsia="en-US"/>
        </w:rPr>
        <w:t xml:space="preserve"> mea</w:t>
      </w:r>
      <w:r w:rsidR="00C92C08">
        <w:rPr>
          <w:rFonts w:cs="Arial"/>
          <w:lang w:eastAsia="en-US"/>
        </w:rPr>
        <w:t>surement are specifie</w:t>
      </w:r>
      <w:r w:rsidR="00993613">
        <w:rPr>
          <w:rFonts w:cs="Arial"/>
          <w:lang w:eastAsia="en-US"/>
        </w:rPr>
        <w:t>d in [3]</w:t>
      </w:r>
      <w:r w:rsidR="003C5B1E">
        <w:rPr>
          <w:rFonts w:cs="Arial"/>
          <w:lang w:eastAsia="en-US"/>
        </w:rPr>
        <w:t>, which are duplicated here</w:t>
      </w:r>
      <w:r w:rsidR="00FE6730">
        <w:rPr>
          <w:rFonts w:cs="Arial"/>
          <w:lang w:eastAsia="en-US"/>
        </w:rPr>
        <w:t xml:space="preserve"> for </w:t>
      </w:r>
      <w:r w:rsidR="00FE6730" w:rsidRPr="00FE6730">
        <w:rPr>
          <w:lang w:eastAsia="en-US"/>
        </w:rPr>
        <w:t>convenience</w:t>
      </w:r>
      <w:r w:rsidR="003C5B1E">
        <w:rPr>
          <w:rFonts w:cs="Arial"/>
          <w:lang w:eastAsia="en-US"/>
        </w:rPr>
        <w:t>:</w:t>
      </w:r>
    </w:p>
    <w:tbl>
      <w:tblPr>
        <w:tblStyle w:val="TableGrid"/>
        <w:tblW w:w="0" w:type="auto"/>
        <w:tblLook w:val="04A0" w:firstRow="1" w:lastRow="0" w:firstColumn="1" w:lastColumn="0" w:noHBand="0" w:noVBand="1"/>
      </w:tblPr>
      <w:tblGrid>
        <w:gridCol w:w="1555"/>
        <w:gridCol w:w="6741"/>
      </w:tblGrid>
      <w:tr w:rsidR="00FE6730" w14:paraId="6F2BB26A" w14:textId="77777777" w:rsidTr="00FE6730">
        <w:tc>
          <w:tcPr>
            <w:tcW w:w="1555" w:type="dxa"/>
          </w:tcPr>
          <w:p w14:paraId="7FF94DF9" w14:textId="69736D62" w:rsidR="00FE6730" w:rsidRDefault="00FE6730" w:rsidP="00C81E8E">
            <w:pPr>
              <w:rPr>
                <w:rFonts w:cs="Arial"/>
                <w:lang w:eastAsia="en-US"/>
              </w:rPr>
            </w:pPr>
            <w:r w:rsidRPr="00FE6730">
              <w:rPr>
                <w:rFonts w:ascii="Arial" w:eastAsiaTheme="minorEastAsia" w:hAnsi="Arial" w:cs="Arial"/>
                <w:b/>
                <w:sz w:val="18"/>
                <w:lang w:val="en-GB" w:eastAsia="en-US"/>
              </w:rPr>
              <w:t>Definition</w:t>
            </w:r>
          </w:p>
        </w:tc>
        <w:tc>
          <w:tcPr>
            <w:tcW w:w="6741" w:type="dxa"/>
          </w:tcPr>
          <w:p w14:paraId="7A145C72" w14:textId="77777777" w:rsidR="00FE6730" w:rsidRPr="001B493D" w:rsidRDefault="00FE6730" w:rsidP="00FE6730">
            <w:pPr>
              <w:pStyle w:val="TAL"/>
              <w:rPr>
                <w:rFonts w:cs="Arial"/>
                <w:lang w:eastAsia="ja-JP"/>
              </w:rPr>
            </w:pPr>
            <w:r w:rsidRPr="001B493D">
              <w:rPr>
                <w:rFonts w:cs="Arial"/>
                <w:lang w:eastAsia="ja-JP"/>
              </w:rPr>
              <w:t xml:space="preserve">The </w:t>
            </w:r>
            <w:r>
              <w:rPr>
                <w:rFonts w:cs="Arial"/>
                <w:lang w:eastAsia="ja-JP"/>
              </w:rPr>
              <w:t xml:space="preserve">observed </w:t>
            </w:r>
            <w:r w:rsidRPr="001B493D">
              <w:rPr>
                <w:rFonts w:cs="Arial"/>
              </w:rPr>
              <w:t>SFN and subframe timing difference (SSTD)</w:t>
            </w:r>
            <w:r w:rsidRPr="001B493D">
              <w:rPr>
                <w:rFonts w:cs="Arial"/>
                <w:lang w:eastAsia="ja-JP"/>
              </w:rPr>
              <w:t xml:space="preserve"> </w:t>
            </w:r>
            <w:r>
              <w:rPr>
                <w:rFonts w:cs="Arial"/>
                <w:lang w:eastAsia="ja-JP"/>
              </w:rPr>
              <w:t xml:space="preserve">between a PCell and a PSCell </w:t>
            </w:r>
            <w:r w:rsidRPr="001B493D">
              <w:rPr>
                <w:rFonts w:cs="Arial"/>
                <w:lang w:eastAsia="ja-JP"/>
              </w:rPr>
              <w:t xml:space="preserve">is defined as </w:t>
            </w:r>
            <w:r>
              <w:rPr>
                <w:rFonts w:cs="Arial"/>
                <w:lang w:eastAsia="ja-JP"/>
              </w:rPr>
              <w:t xml:space="preserve">consisting of the </w:t>
            </w:r>
            <w:r w:rsidRPr="001B493D">
              <w:rPr>
                <w:rFonts w:cs="Arial"/>
                <w:lang w:eastAsia="ja-JP"/>
              </w:rPr>
              <w:t>following three components;</w:t>
            </w:r>
          </w:p>
          <w:p w14:paraId="7A2B85A9" w14:textId="77777777" w:rsidR="00FE6730" w:rsidRPr="00AB4CEC" w:rsidRDefault="00FE6730" w:rsidP="00FE6730">
            <w:pPr>
              <w:pStyle w:val="B1"/>
              <w:rPr>
                <w:rFonts w:ascii="Arial" w:hAnsi="Arial" w:cs="Arial"/>
                <w:sz w:val="18"/>
                <w:szCs w:val="18"/>
                <w:lang w:val="en-US" w:eastAsia="ja-JP"/>
              </w:rPr>
            </w:pPr>
            <w:r>
              <w:rPr>
                <w:lang w:eastAsia="ja-JP"/>
              </w:rPr>
              <w:t>-</w:t>
            </w:r>
            <w:r>
              <w:rPr>
                <w:lang w:eastAsia="ja-JP"/>
              </w:rPr>
              <w:tab/>
            </w:r>
            <w:r w:rsidRPr="00AB4CEC">
              <w:rPr>
                <w:rFonts w:ascii="Arial" w:hAnsi="Arial" w:cs="Arial"/>
                <w:sz w:val="18"/>
                <w:szCs w:val="18"/>
                <w:lang w:eastAsia="ja-JP"/>
              </w:rPr>
              <w:t>SFN offset = (SFN</w:t>
            </w:r>
            <w:r w:rsidRPr="00AB4CEC">
              <w:rPr>
                <w:rFonts w:ascii="Arial" w:hAnsi="Arial" w:cs="Arial"/>
                <w:sz w:val="18"/>
                <w:szCs w:val="18"/>
                <w:vertAlign w:val="subscript"/>
                <w:lang w:eastAsia="ja-JP"/>
              </w:rPr>
              <w:t>PCell</w:t>
            </w:r>
            <w:r w:rsidRPr="00AB4CEC">
              <w:rPr>
                <w:rFonts w:ascii="Arial" w:hAnsi="Arial" w:cs="Arial"/>
                <w:sz w:val="18"/>
                <w:szCs w:val="18"/>
                <w:lang w:eastAsia="ja-JP"/>
              </w:rPr>
              <w:t xml:space="preserve"> - SFN</w:t>
            </w:r>
            <w:r w:rsidRPr="00AB4CEC">
              <w:rPr>
                <w:rFonts w:ascii="Arial" w:hAnsi="Arial" w:cs="Arial"/>
                <w:sz w:val="18"/>
                <w:szCs w:val="18"/>
                <w:vertAlign w:val="subscript"/>
                <w:lang w:eastAsia="ja-JP"/>
              </w:rPr>
              <w:t>PSCell</w:t>
            </w:r>
            <w:r w:rsidRPr="00AB4CEC">
              <w:rPr>
                <w:rFonts w:ascii="Arial" w:hAnsi="Arial" w:cs="Arial"/>
                <w:sz w:val="18"/>
                <w:szCs w:val="18"/>
                <w:lang w:eastAsia="ja-JP"/>
              </w:rPr>
              <w:t>) mod 1024, where SFN</w:t>
            </w:r>
            <w:r w:rsidRPr="00AB4CEC">
              <w:rPr>
                <w:rFonts w:ascii="Arial" w:hAnsi="Arial" w:cs="Arial"/>
                <w:sz w:val="18"/>
                <w:szCs w:val="18"/>
                <w:vertAlign w:val="subscript"/>
                <w:lang w:eastAsia="ja-JP"/>
              </w:rPr>
              <w:t>PCell</w:t>
            </w:r>
            <w:r w:rsidRPr="00AB4CEC">
              <w:rPr>
                <w:rFonts w:ascii="Arial" w:hAnsi="Arial" w:cs="Arial"/>
                <w:sz w:val="18"/>
                <w:szCs w:val="18"/>
                <w:lang w:eastAsia="ja-JP"/>
              </w:rPr>
              <w:t xml:space="preserve"> is the SFN of a PCell radio frame and SFN</w:t>
            </w:r>
            <w:r w:rsidRPr="00AB4CEC">
              <w:rPr>
                <w:rFonts w:ascii="Arial" w:hAnsi="Arial" w:cs="Arial"/>
                <w:sz w:val="18"/>
                <w:szCs w:val="18"/>
                <w:vertAlign w:val="subscript"/>
                <w:lang w:eastAsia="ja-JP"/>
              </w:rPr>
              <w:t>PSCell</w:t>
            </w:r>
            <w:r w:rsidRPr="00AB4CEC">
              <w:rPr>
                <w:rFonts w:ascii="Arial" w:hAnsi="Arial" w:cs="Arial"/>
                <w:sz w:val="18"/>
                <w:szCs w:val="18"/>
                <w:lang w:eastAsia="ja-JP"/>
              </w:rPr>
              <w:t xml:space="preserve"> is the SFN of the PSCell radio frame of which the UE receives the start closest in time to the time when it receives the start of the PCell radio frame.</w:t>
            </w:r>
          </w:p>
          <w:p w14:paraId="72B39529" w14:textId="77777777" w:rsidR="00FE6730" w:rsidRPr="00AB4CEC" w:rsidRDefault="00FE6730" w:rsidP="00FE6730">
            <w:pPr>
              <w:pStyle w:val="B1"/>
              <w:rPr>
                <w:rFonts w:ascii="Arial" w:hAnsi="Arial" w:cs="Arial"/>
                <w:sz w:val="18"/>
                <w:szCs w:val="18"/>
                <w:lang w:val="en-US" w:eastAsia="ja-JP"/>
              </w:rPr>
            </w:pPr>
            <w:r w:rsidRPr="00AB4CEC">
              <w:rPr>
                <w:rFonts w:ascii="Arial" w:hAnsi="Arial" w:cs="Arial"/>
                <w:sz w:val="18"/>
                <w:szCs w:val="18"/>
                <w:lang w:eastAsia="ja-JP"/>
              </w:rPr>
              <w:t>-</w:t>
            </w:r>
            <w:r w:rsidRPr="00AB4CEC">
              <w:rPr>
                <w:rFonts w:ascii="Arial" w:hAnsi="Arial" w:cs="Arial"/>
                <w:sz w:val="18"/>
                <w:szCs w:val="18"/>
                <w:lang w:eastAsia="ja-JP"/>
              </w:rPr>
              <w:tab/>
              <w:t xml:space="preserve">Frame boundary offset = </w:t>
            </w:r>
            <w:r w:rsidRPr="00AB4CEC">
              <w:rPr>
                <w:rFonts w:ascii="Arial" w:hAnsi="Arial" w:cs="Arial"/>
                <w:position w:val="-12"/>
                <w:sz w:val="18"/>
                <w:szCs w:val="18"/>
                <w:lang w:eastAsia="ja-JP"/>
              </w:rPr>
              <w:object w:dxaOrig="3840" w:dyaOrig="320" w14:anchorId="30C11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7pt;height:15.8pt" o:ole="">
                  <v:imagedata r:id="rId8" o:title=""/>
                </v:shape>
                <o:OLEObject Type="Embed" ProgID="Equation.3" ShapeID="_x0000_i1025" DrawAspect="Content" ObjectID="_1566663572" r:id="rId9"/>
              </w:object>
            </w:r>
            <w:r w:rsidRPr="00AB4CEC">
              <w:rPr>
                <w:rFonts w:ascii="Arial" w:hAnsi="Arial" w:cs="Arial"/>
                <w:sz w:val="18"/>
                <w:szCs w:val="18"/>
                <w:lang w:eastAsia="ja-JP"/>
              </w:rPr>
              <w:t>, where T</w:t>
            </w:r>
            <w:r w:rsidRPr="00AB4CEC">
              <w:rPr>
                <w:rFonts w:ascii="Arial" w:hAnsi="Arial" w:cs="Arial"/>
                <w:sz w:val="18"/>
                <w:szCs w:val="18"/>
                <w:vertAlign w:val="subscript"/>
                <w:lang w:eastAsia="ja-JP"/>
              </w:rPr>
              <w:t>FrameBoundaryPCell</w:t>
            </w:r>
            <w:r w:rsidRPr="00AB4CEC">
              <w:rPr>
                <w:rFonts w:ascii="Arial" w:hAnsi="Arial" w:cs="Arial"/>
                <w:sz w:val="18"/>
                <w:szCs w:val="18"/>
                <w:lang w:eastAsia="ja-JP"/>
              </w:rPr>
              <w:t xml:space="preserve"> is </w:t>
            </w:r>
            <w:r w:rsidRPr="00AB4CEC">
              <w:rPr>
                <w:rFonts w:ascii="Arial" w:hAnsi="Arial" w:cs="Arial"/>
                <w:sz w:val="18"/>
                <w:szCs w:val="18"/>
                <w:lang w:eastAsia="ja-JP"/>
              </w:rPr>
              <w:lastRenderedPageBreak/>
              <w:t>the time when the UE receives the start of a radio frame from the PCell and T</w:t>
            </w:r>
            <w:r w:rsidRPr="00AB4CEC">
              <w:rPr>
                <w:rFonts w:ascii="Arial" w:hAnsi="Arial" w:cs="Arial"/>
                <w:sz w:val="18"/>
                <w:szCs w:val="18"/>
                <w:vertAlign w:val="subscript"/>
                <w:lang w:eastAsia="ja-JP"/>
              </w:rPr>
              <w:t>FrameBoundaryPSCell</w:t>
            </w:r>
            <w:r w:rsidRPr="00AB4CEC">
              <w:rPr>
                <w:rFonts w:ascii="Arial" w:hAnsi="Arial" w:cs="Arial"/>
                <w:sz w:val="18"/>
                <w:szCs w:val="18"/>
                <w:lang w:eastAsia="ja-JP"/>
              </w:rPr>
              <w:t xml:space="preserve"> is the time when the UE receives the start of the radio frame of PSCell that is closest in time to the radio frame received from the PCell. The unit of </w:t>
            </w:r>
            <w:r w:rsidRPr="00AB4CEC">
              <w:rPr>
                <w:rFonts w:ascii="Arial" w:hAnsi="Arial" w:cs="Arial"/>
                <w:sz w:val="18"/>
                <w:szCs w:val="18"/>
                <w:lang w:val="en-US" w:eastAsia="ja-JP"/>
              </w:rPr>
              <w:t>(</w:t>
            </w:r>
            <w:r w:rsidRPr="00AB4CEC">
              <w:rPr>
                <w:rFonts w:ascii="Arial" w:hAnsi="Arial" w:cs="Arial"/>
                <w:sz w:val="18"/>
                <w:szCs w:val="18"/>
                <w:lang w:eastAsia="ja-JP"/>
              </w:rPr>
              <w:t>T</w:t>
            </w:r>
            <w:r w:rsidRPr="00AB4CEC">
              <w:rPr>
                <w:rFonts w:ascii="Arial" w:hAnsi="Arial" w:cs="Arial"/>
                <w:sz w:val="18"/>
                <w:szCs w:val="18"/>
                <w:vertAlign w:val="subscript"/>
                <w:lang w:eastAsia="ja-JP"/>
              </w:rPr>
              <w:t>FrameBoundaryPCell</w:t>
            </w:r>
            <w:r w:rsidRPr="00AB4CEC">
              <w:rPr>
                <w:rFonts w:ascii="Arial" w:hAnsi="Arial" w:cs="Arial"/>
                <w:sz w:val="18"/>
                <w:szCs w:val="18"/>
                <w:lang w:eastAsia="ja-JP"/>
              </w:rPr>
              <w:t xml:space="preserve"> - T</w:t>
            </w:r>
            <w:r w:rsidRPr="00AB4CEC">
              <w:rPr>
                <w:rFonts w:ascii="Arial" w:hAnsi="Arial" w:cs="Arial"/>
                <w:sz w:val="18"/>
                <w:szCs w:val="18"/>
                <w:vertAlign w:val="subscript"/>
                <w:lang w:eastAsia="ja-JP"/>
              </w:rPr>
              <w:t>FrameBoundaryPSCell</w:t>
            </w:r>
            <w:r w:rsidRPr="00AB4CEC">
              <w:rPr>
                <w:rFonts w:ascii="Arial" w:hAnsi="Arial" w:cs="Arial"/>
                <w:sz w:val="18"/>
                <w:szCs w:val="18"/>
                <w:lang w:eastAsia="ja-JP"/>
              </w:rPr>
              <w:t>) is [</w:t>
            </w:r>
            <w:r w:rsidRPr="00AB4CEC">
              <w:rPr>
                <w:rFonts w:ascii="Arial" w:hAnsi="Arial" w:cs="Arial"/>
                <w:sz w:val="18"/>
                <w:szCs w:val="18"/>
                <w:lang w:val="en-US" w:eastAsia="ja-JP"/>
              </w:rPr>
              <w:t>µs].</w:t>
            </w:r>
          </w:p>
          <w:p w14:paraId="6E6E2DF8" w14:textId="77777777" w:rsidR="00FE6730" w:rsidRPr="00AB4CEC" w:rsidRDefault="00FE6730" w:rsidP="00FE6730">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t>Subframe boundary offset = T</w:t>
            </w:r>
            <w:r w:rsidRPr="00AB4CEC">
              <w:rPr>
                <w:rFonts w:ascii="Arial" w:hAnsi="Arial" w:cs="Arial"/>
                <w:sz w:val="18"/>
                <w:szCs w:val="18"/>
                <w:vertAlign w:val="subscript"/>
                <w:lang w:eastAsia="ja-JP"/>
              </w:rPr>
              <w:t>SubframePCell</w:t>
            </w:r>
            <w:r w:rsidRPr="00AB4CEC">
              <w:rPr>
                <w:rFonts w:ascii="Arial" w:hAnsi="Arial" w:cs="Arial"/>
                <w:sz w:val="18"/>
                <w:szCs w:val="18"/>
                <w:lang w:eastAsia="ja-JP"/>
              </w:rPr>
              <w:t xml:space="preserve"> - T</w:t>
            </w:r>
            <w:r w:rsidRPr="00AB4CEC">
              <w:rPr>
                <w:rFonts w:ascii="Arial" w:hAnsi="Arial" w:cs="Arial"/>
                <w:sz w:val="18"/>
                <w:szCs w:val="18"/>
                <w:vertAlign w:val="subscript"/>
                <w:lang w:eastAsia="ja-JP"/>
              </w:rPr>
              <w:t>SubframePSCell</w:t>
            </w:r>
            <w:r w:rsidRPr="00AB4CEC">
              <w:rPr>
                <w:rFonts w:ascii="Arial" w:hAnsi="Arial" w:cs="Arial"/>
                <w:sz w:val="18"/>
                <w:szCs w:val="18"/>
                <w:lang w:eastAsia="ja-JP"/>
              </w:rPr>
              <w:t>, where T</w:t>
            </w:r>
            <w:r w:rsidRPr="00AB4CEC">
              <w:rPr>
                <w:rFonts w:ascii="Arial" w:hAnsi="Arial" w:cs="Arial"/>
                <w:sz w:val="18"/>
                <w:szCs w:val="18"/>
                <w:vertAlign w:val="subscript"/>
                <w:lang w:eastAsia="ja-JP"/>
              </w:rPr>
              <w:t>SubframePCell</w:t>
            </w:r>
            <w:r w:rsidRPr="00AB4CEC">
              <w:rPr>
                <w:rFonts w:ascii="Arial" w:hAnsi="Arial" w:cs="Arial"/>
                <w:sz w:val="18"/>
                <w:szCs w:val="18"/>
                <w:lang w:eastAsia="ja-JP"/>
              </w:rPr>
              <w:t xml:space="preserve"> is the time when the UE receives the start of a subframe from the PCell and T</w:t>
            </w:r>
            <w:r w:rsidRPr="00AB4CEC">
              <w:rPr>
                <w:rFonts w:ascii="Arial" w:hAnsi="Arial" w:cs="Arial"/>
                <w:sz w:val="18"/>
                <w:szCs w:val="18"/>
                <w:vertAlign w:val="subscript"/>
                <w:lang w:eastAsia="ja-JP"/>
              </w:rPr>
              <w:t>SubframePSCell</w:t>
            </w:r>
            <w:r w:rsidRPr="00AB4CEC">
              <w:rPr>
                <w:rFonts w:ascii="Arial" w:hAnsi="Arial" w:cs="Arial"/>
                <w:sz w:val="18"/>
                <w:szCs w:val="18"/>
                <w:lang w:eastAsia="ja-JP"/>
              </w:rPr>
              <w:t xml:space="preserve"> is the time when the UE receives the start of the subframe from the PSCell that is closest in time to the subframe received from the PCell.</w:t>
            </w:r>
          </w:p>
          <w:p w14:paraId="1A3144DE" w14:textId="13E6687A" w:rsidR="00FE6730" w:rsidRDefault="00FE6730" w:rsidP="00FE6730">
            <w:pPr>
              <w:rPr>
                <w:rFonts w:cs="Arial"/>
                <w:lang w:eastAsia="en-US"/>
              </w:rPr>
            </w:pPr>
            <w:r w:rsidRPr="00FE6730">
              <w:rPr>
                <w:rFonts w:ascii="Arial" w:eastAsia="MS Mincho" w:hAnsi="Arial" w:cs="Arial"/>
                <w:sz w:val="18"/>
                <w:szCs w:val="18"/>
                <w:lang w:val="en-GB" w:eastAsia="ja-JP"/>
              </w:rPr>
              <w:t>The reference point for the observed SFN and subframe time difference shall be the antenna connector of the UE.</w:t>
            </w:r>
          </w:p>
        </w:tc>
      </w:tr>
      <w:tr w:rsidR="00FE6730" w14:paraId="13F0A914" w14:textId="77777777" w:rsidTr="00FE6730">
        <w:tc>
          <w:tcPr>
            <w:tcW w:w="1555" w:type="dxa"/>
          </w:tcPr>
          <w:p w14:paraId="7A688E6E" w14:textId="4739AB97" w:rsidR="00FE6730" w:rsidRDefault="00FE6730" w:rsidP="00C81E8E">
            <w:pPr>
              <w:rPr>
                <w:rFonts w:cs="Arial"/>
                <w:lang w:eastAsia="en-US"/>
              </w:rPr>
            </w:pPr>
            <w:r w:rsidRPr="00FE6730">
              <w:rPr>
                <w:rFonts w:ascii="Arial" w:eastAsiaTheme="minorEastAsia" w:hAnsi="Arial" w:cs="Arial"/>
                <w:b/>
                <w:sz w:val="18"/>
                <w:lang w:val="en-GB" w:eastAsia="en-US"/>
              </w:rPr>
              <w:lastRenderedPageBreak/>
              <w:t>Applicable for</w:t>
            </w:r>
          </w:p>
        </w:tc>
        <w:tc>
          <w:tcPr>
            <w:tcW w:w="6741" w:type="dxa"/>
          </w:tcPr>
          <w:p w14:paraId="182D10F8" w14:textId="70035D06" w:rsidR="00FE6730" w:rsidRDefault="00FE6730" w:rsidP="00C81E8E">
            <w:pPr>
              <w:rPr>
                <w:rFonts w:cs="Arial"/>
                <w:lang w:eastAsia="en-US"/>
              </w:rPr>
            </w:pPr>
            <w:r w:rsidRPr="00FE6730">
              <w:rPr>
                <w:rFonts w:ascii="Arial" w:eastAsia="MS Mincho" w:hAnsi="Arial" w:cs="Arial"/>
                <w:sz w:val="18"/>
                <w:szCs w:val="18"/>
                <w:lang w:val="en-GB" w:eastAsia="ja-JP"/>
              </w:rPr>
              <w:t>RRC_CONNECTED intra-frequency</w:t>
            </w:r>
          </w:p>
        </w:tc>
      </w:tr>
    </w:tbl>
    <w:p w14:paraId="7C79F820" w14:textId="737A234F" w:rsidR="00F5562A" w:rsidRDefault="0033150A" w:rsidP="00035F88">
      <w:r>
        <w:t xml:space="preserve">Typically, </w:t>
      </w:r>
      <w:r w:rsidR="00E35F34">
        <w:t>SSTD measurement, as well as UE capabilities, are</w:t>
      </w:r>
      <w:r w:rsidR="00E35F34" w:rsidRPr="00E35F34">
        <w:t xml:space="preserve"> reported to </w:t>
      </w:r>
      <w:r w:rsidR="00E35F34">
        <w:t>MeNB a</w:t>
      </w:r>
      <w:r w:rsidR="00E35F34" w:rsidRPr="00E35F34">
        <w:t xml:space="preserve">s the basis for </w:t>
      </w:r>
      <w:r w:rsidR="00E35F34">
        <w:t xml:space="preserve">making decision on: 1) whether DC is possible or not, 2) whether </w:t>
      </w:r>
      <w:r w:rsidR="00E35F34" w:rsidRPr="00E35F34">
        <w:t xml:space="preserve">synchronous </w:t>
      </w:r>
      <w:r w:rsidR="00E35F34">
        <w:t xml:space="preserve">DC mode or asynchronous DC mode will be selected. </w:t>
      </w:r>
    </w:p>
    <w:p w14:paraId="558A702A" w14:textId="7BF44663" w:rsidR="000A7BAA" w:rsidRDefault="00F5562A" w:rsidP="006D0002">
      <w:r>
        <w:rPr>
          <w:rFonts w:hint="eastAsia"/>
        </w:rPr>
        <w:t xml:space="preserve">It is </w:t>
      </w:r>
      <w:r>
        <w:t xml:space="preserve">important to point out that the definition of SSTD measurement in LTE is based on the fact that TTI length in LTE is 1ms, i.e. a subframe. So reporting the timing difference between the subframes of PCell and PSCell is enough for LTE. However, situation has changed in NR. First, slot rather than subframe has become the basic </w:t>
      </w:r>
      <w:r w:rsidRPr="00C65FAC">
        <w:t>scheduling</w:t>
      </w:r>
      <w:r>
        <w:t xml:space="preserve"> unit. Second, multiple numerologies </w:t>
      </w:r>
      <w:r w:rsidRPr="00C65FAC">
        <w:t>feature</w:t>
      </w:r>
      <w:r>
        <w:t xml:space="preserve"> is introduced in NR. As a result, the length of TTI will be a function of the numerology used by NR cell. In Qingdao meeting and the following Berlin meeting, </w:t>
      </w:r>
      <w:r w:rsidR="007168C7">
        <w:t>Some companies</w:t>
      </w:r>
      <w:r>
        <w:t xml:space="preserve"> want to modify the definition</w:t>
      </w:r>
      <w:r w:rsidR="009305DD">
        <w:t xml:space="preserve"> of SSTD</w:t>
      </w:r>
      <w:r>
        <w:t xml:space="preserve"> </w:t>
      </w:r>
      <w:r w:rsidR="009305DD">
        <w:t xml:space="preserve">measurement </w:t>
      </w:r>
      <w:r>
        <w:t xml:space="preserve">to support more efficient LTE/NR DC operation [5]. To be more specific, </w:t>
      </w:r>
      <w:r w:rsidRPr="00624F55">
        <w:t>TTI time difference</w:t>
      </w:r>
      <w:r>
        <w:t xml:space="preserve"> is proposed to be added to the reporting message of SSTD then </w:t>
      </w:r>
      <w:r w:rsidRPr="003C2B12">
        <w:t xml:space="preserve">there will be </w:t>
      </w:r>
      <w:r>
        <w:t>more</w:t>
      </w:r>
      <w:r w:rsidRPr="003C2B12">
        <w:t xml:space="preserve"> points in a subframe around which synchronous DC operation can be supported</w:t>
      </w:r>
      <w:r>
        <w:t>. That is what we will discuss in the following section.</w:t>
      </w:r>
    </w:p>
    <w:p w14:paraId="0F727B32" w14:textId="77777777" w:rsidR="008F7CEB" w:rsidRPr="006D0002" w:rsidRDefault="008F7CEB" w:rsidP="006D0002">
      <w:pPr>
        <w:pStyle w:val="Heading1"/>
        <w:jc w:val="both"/>
        <w:rPr>
          <w:rFonts w:ascii="Arial" w:hAnsi="Arial" w:cs="Arial"/>
          <w:lang w:val="en-US"/>
        </w:rPr>
      </w:pPr>
      <w:r w:rsidRPr="006D0002">
        <w:rPr>
          <w:rFonts w:ascii="Arial" w:hAnsi="Arial" w:cs="Arial"/>
          <w:lang w:val="en-US"/>
        </w:rPr>
        <w:t>Discussion on the modification of SSTD</w:t>
      </w:r>
    </w:p>
    <w:p w14:paraId="24B93304" w14:textId="77777777" w:rsidR="00035F88" w:rsidRDefault="008F7CEB" w:rsidP="00035F88">
      <w:r>
        <w:t>The reason to modify the definition of SSTD measurement given in [6] is “</w:t>
      </w:r>
      <w:r w:rsidRPr="008F7CEB">
        <w:t xml:space="preserve">in many NR configurations the existing SSTD reporting would be too coarse and result in unnecessary </w:t>
      </w:r>
      <w:bookmarkStart w:id="2" w:name="OLE_LINK9"/>
      <w:bookmarkStart w:id="3" w:name="OLE_LINK10"/>
      <w:r w:rsidRPr="008F7CEB">
        <w:t xml:space="preserve">loss of </w:t>
      </w:r>
      <w:bookmarkStart w:id="4" w:name="OLE_LINK6"/>
      <w:r w:rsidRPr="008F7CEB">
        <w:t>scheduling opportunities</w:t>
      </w:r>
      <w:bookmarkEnd w:id="2"/>
      <w:bookmarkEnd w:id="3"/>
      <w:bookmarkEnd w:id="4"/>
      <w:r>
        <w:t>”. However,</w:t>
      </w:r>
      <w:r w:rsidR="00CD446F">
        <w:t xml:space="preserve"> </w:t>
      </w:r>
      <w:r w:rsidR="00035F88">
        <w:t xml:space="preserve">even we modify the definition of SSTD measurement </w:t>
      </w:r>
      <w:r w:rsidR="00CD446F">
        <w:t xml:space="preserve">there will not be more </w:t>
      </w:r>
      <w:r w:rsidR="00CD446F" w:rsidRPr="008F7CEB">
        <w:t>scheduling opportunities</w:t>
      </w:r>
      <w:r w:rsidR="00035F88">
        <w:t xml:space="preserve"> comparing with the original SSTD measurement. </w:t>
      </w:r>
    </w:p>
    <w:p w14:paraId="2FA9795F" w14:textId="7C62E0D7" w:rsidR="00035F88" w:rsidRDefault="00035F88" w:rsidP="00035F88">
      <w:r>
        <w:t xml:space="preserve">For </w:t>
      </w:r>
      <w:r w:rsidRPr="00C15202">
        <w:t xml:space="preserve">LTE, </w:t>
      </w:r>
      <w:r>
        <w:t xml:space="preserve">the threshold </w:t>
      </w:r>
      <w:r w:rsidRPr="005A7180">
        <w:t>between synchronous an</w:t>
      </w:r>
      <w:r>
        <w:t>d asynchronous operation is whether</w:t>
      </w:r>
      <w:r w:rsidRPr="005A7180">
        <w:t xml:space="preserve"> the time difference between received subframes from PCell and PSCell is </w:t>
      </w:r>
      <w:r>
        <w:t xml:space="preserve">smaller than </w:t>
      </w:r>
      <w:r w:rsidRPr="005A7180">
        <w:t>33μ</w:t>
      </w:r>
      <w:r>
        <w:t xml:space="preserve">s or not [4]. As depicted in figure 1. So in each 1ms there is a time interval of </w:t>
      </w:r>
      <m:oMath>
        <m:r>
          <m:rPr>
            <m:sty m:val="p"/>
          </m:rPr>
          <w:rPr>
            <w:rFonts w:ascii="Cambria Math" w:hAnsi="Cambria Math"/>
          </w:rPr>
          <m:t>66μs</m:t>
        </m:r>
      </m:oMath>
      <w:r>
        <w:rPr>
          <w:rFonts w:hint="eastAsia"/>
        </w:rPr>
        <w:t xml:space="preserve"> (</w:t>
      </w:r>
      <w:r>
        <w:t>labeled as “sync interval”</w:t>
      </w:r>
      <w:r>
        <w:rPr>
          <w:rFonts w:hint="eastAsia"/>
        </w:rPr>
        <w:t>)</w:t>
      </w:r>
      <w:r>
        <w:t xml:space="preserve">. DC operation will be considered to be </w:t>
      </w:r>
      <w:r w:rsidRPr="005A7180">
        <w:t>synchronous</w:t>
      </w:r>
      <w:r>
        <w:t xml:space="preserve"> if the subframe boundary of PCell falls in the sync interval. Otherwise it will be considered to be a</w:t>
      </w:r>
      <w:r w:rsidRPr="005A7180">
        <w:t>synchronous</w:t>
      </w:r>
      <w:r>
        <w:t xml:space="preserve">. </w:t>
      </w:r>
    </w:p>
    <w:p w14:paraId="13A20C1A" w14:textId="77777777" w:rsidR="00035F88" w:rsidRDefault="00035F88" w:rsidP="00035F88">
      <w:r>
        <w:lastRenderedPageBreak/>
        <w:t xml:space="preserve"> </w:t>
      </w:r>
      <w:r>
        <w:rPr>
          <w:noProof/>
        </w:rPr>
        <w:drawing>
          <wp:inline distT="0" distB="0" distL="0" distR="0" wp14:anchorId="6B570B71" wp14:editId="055EE664">
            <wp:extent cx="5272405" cy="2025015"/>
            <wp:effectExtent l="0" t="0" r="4445" b="0"/>
            <wp:docPr id="62" name="图片 62" descr="C:\Users\w00195360\Pictures\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w00195360\Pictures\图片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2405" cy="2025015"/>
                    </a:xfrm>
                    <a:prstGeom prst="rect">
                      <a:avLst/>
                    </a:prstGeom>
                    <a:noFill/>
                    <a:ln>
                      <a:noFill/>
                    </a:ln>
                  </pic:spPr>
                </pic:pic>
              </a:graphicData>
            </a:graphic>
          </wp:inline>
        </w:drawing>
      </w:r>
    </w:p>
    <w:p w14:paraId="35ECD76D" w14:textId="5B062CE3" w:rsidR="008F7CEB" w:rsidRPr="00501D32" w:rsidRDefault="00035F88" w:rsidP="00706FD6">
      <w:pPr>
        <w:jc w:val="center"/>
        <w:rPr>
          <w:rFonts w:ascii="Arial" w:eastAsia="Arial Unicode MS" w:hAnsi="Arial" w:cs="Arial"/>
          <w:b/>
        </w:rPr>
      </w:pPr>
      <w:r w:rsidRPr="00501D32">
        <w:rPr>
          <w:rFonts w:ascii="Arial" w:eastAsia="Arial Unicode MS" w:hAnsi="Arial" w:cs="Arial"/>
          <w:b/>
        </w:rPr>
        <w:t>Figure 1.</w:t>
      </w:r>
      <w:r w:rsidR="00E43533" w:rsidRPr="00501D32">
        <w:rPr>
          <w:rFonts w:ascii="Arial" w:eastAsia="Arial Unicode MS" w:hAnsi="Arial" w:cs="Arial"/>
          <w:b/>
        </w:rPr>
        <w:t xml:space="preserve"> </w:t>
      </w:r>
      <w:r w:rsidR="00501D32" w:rsidRPr="00501D32">
        <w:rPr>
          <w:rFonts w:ascii="Arial" w:eastAsia="Arial Unicode MS" w:hAnsi="Arial" w:cs="Arial"/>
          <w:b/>
        </w:rPr>
        <w:t>Demonstration</w:t>
      </w:r>
      <w:r w:rsidR="00E43533" w:rsidRPr="00501D32">
        <w:rPr>
          <w:rFonts w:ascii="Arial" w:eastAsia="Arial Unicode MS" w:hAnsi="Arial" w:cs="Arial"/>
          <w:b/>
        </w:rPr>
        <w:t xml:space="preserve"> of sync interval in each subframe</w:t>
      </w:r>
    </w:p>
    <w:p w14:paraId="65D5EE15" w14:textId="43271636" w:rsidR="000A7BAA" w:rsidRDefault="005C6678" w:rsidP="000A7BAA">
      <w:r>
        <w:t xml:space="preserve">It is important to point out that the value </w:t>
      </w:r>
      <w:r w:rsidRPr="005A7180">
        <w:t>33</w:t>
      </w:r>
      <w:bookmarkStart w:id="5" w:name="OLE_LINK7"/>
      <w:bookmarkStart w:id="6" w:name="OLE_LINK8"/>
      <w:r w:rsidRPr="005A7180">
        <w:t>μ</w:t>
      </w:r>
      <w:r>
        <w:t>s</w:t>
      </w:r>
      <w:bookmarkEnd w:id="5"/>
      <w:bookmarkEnd w:id="6"/>
      <w:r>
        <w:t xml:space="preserve"> is obviously determined by the numerology used in LTE, i.e. half-length of an OFDM symbol with 15KHz SCS (approximately 67</w:t>
      </w:r>
      <w:r w:rsidRPr="005A7180">
        <w:t>μ</w:t>
      </w:r>
      <w:r>
        <w:t xml:space="preserve">s). If we still take half-length of an OFDM symbol as the threshold </w:t>
      </w:r>
      <w:r w:rsidRPr="005A7180">
        <w:t>between synchronous an</w:t>
      </w:r>
      <w:r>
        <w:t xml:space="preserve">d asynchronous operation, then </w:t>
      </w:r>
      <w:r w:rsidR="00843D1E">
        <w:t>the threshold</w:t>
      </w:r>
      <w:r>
        <w:t xml:space="preserve"> should be </w:t>
      </w:r>
      <w:r w:rsidR="00843D1E" w:rsidRPr="00843D1E">
        <w:t>inversely proportional to</w:t>
      </w:r>
      <w:r w:rsidR="00843D1E">
        <w:t xml:space="preserve"> the numerology used in NR. To be more specific, the threshold should be </w:t>
      </w:r>
      <m:oMath>
        <m:r>
          <m:rPr>
            <m:sty m:val="p"/>
          </m:rPr>
          <w:rPr>
            <w:rFonts w:ascii="Cambria Math" w:hAnsi="Cambria Math"/>
          </w:rPr>
          <m:t>33×</m:t>
        </m:r>
        <m:sSup>
          <m:sSupPr>
            <m:ctrlPr>
              <w:rPr>
                <w:rFonts w:ascii="Cambria Math" w:hAnsi="Cambria Math"/>
              </w:rPr>
            </m:ctrlPr>
          </m:sSupPr>
          <m:e>
            <m:r>
              <m:rPr>
                <m:sty m:val="p"/>
              </m:rPr>
              <w:rPr>
                <w:rFonts w:ascii="Cambria Math" w:hAnsi="Cambria Math"/>
              </w:rPr>
              <m:t>2</m:t>
            </m:r>
          </m:e>
          <m:sup>
            <m:r>
              <w:rPr>
                <w:rFonts w:ascii="Cambria Math" w:hAnsi="Cambria Math"/>
              </w:rPr>
              <m:t>-m</m:t>
            </m:r>
          </m:sup>
        </m:sSup>
      </m:oMath>
      <w:r w:rsidR="00843D1E" w:rsidRPr="005A7180">
        <w:t>μ</w:t>
      </w:r>
      <w:r w:rsidR="00843D1E">
        <w:t xml:space="preserve">s if the </w:t>
      </w:r>
      <m:oMath>
        <m:r>
          <m:rPr>
            <m:sty m:val="p"/>
          </m:rPr>
          <w:rPr>
            <w:rFonts w:ascii="Cambria Math" w:hAnsi="Cambria Math"/>
          </w:rPr>
          <m:t>15×</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m:t>
            </m:r>
          </m:sup>
        </m:sSup>
      </m:oMath>
      <w:r w:rsidR="00843D1E">
        <w:rPr>
          <w:rFonts w:hint="eastAsia"/>
        </w:rPr>
        <w:t xml:space="preserve">KHz SCS is used. </w:t>
      </w:r>
      <w:r w:rsidR="00CF31E4">
        <w:t xml:space="preserve">If we allow the </w:t>
      </w:r>
      <w:r w:rsidR="00CF31E4" w:rsidRPr="003C2B12">
        <w:t>synchronous DC operation</w:t>
      </w:r>
      <w:r w:rsidR="00CF31E4">
        <w:t xml:space="preserve"> at NR TTI boundary.</w:t>
      </w:r>
      <w:r w:rsidR="006D39D4">
        <w:t xml:space="preserve"> Then there will be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m</m:t>
            </m:r>
          </m:sup>
        </m:sSup>
      </m:oMath>
      <w:r w:rsidR="006D39D4">
        <w:rPr>
          <w:rFonts w:hint="eastAsia"/>
        </w:rPr>
        <w:t xml:space="preserve"> </w:t>
      </w:r>
      <w:r w:rsidR="006D39D4">
        <w:t xml:space="preserve">synchronization points in each subframe. But because the threshold is reduced to </w:t>
      </w:r>
      <m:oMath>
        <m:r>
          <m:rPr>
            <m:sty m:val="p"/>
          </m:rPr>
          <w:rPr>
            <w:rFonts w:ascii="Cambria Math" w:hAnsi="Cambria Math"/>
          </w:rPr>
          <m:t>33×</m:t>
        </m:r>
        <m:sSup>
          <m:sSupPr>
            <m:ctrlPr>
              <w:rPr>
                <w:rFonts w:ascii="Cambria Math" w:hAnsi="Cambria Math"/>
              </w:rPr>
            </m:ctrlPr>
          </m:sSupPr>
          <m:e>
            <m:r>
              <m:rPr>
                <m:sty m:val="p"/>
              </m:rPr>
              <w:rPr>
                <w:rFonts w:ascii="Cambria Math" w:hAnsi="Cambria Math"/>
              </w:rPr>
              <m:t>2</m:t>
            </m:r>
          </m:e>
          <m:sup>
            <m:r>
              <w:rPr>
                <w:rFonts w:ascii="Cambria Math" w:hAnsi="Cambria Math"/>
              </w:rPr>
              <m:t>-m</m:t>
            </m:r>
          </m:sup>
        </m:sSup>
      </m:oMath>
      <w:r w:rsidR="006D39D4" w:rsidRPr="005A7180">
        <w:t>μ</w:t>
      </w:r>
      <w:r w:rsidR="006D39D4">
        <w:t>s, so the total length of sync interval in each 1ms is still 66</w:t>
      </w:r>
      <w:r w:rsidR="006D39D4" w:rsidRPr="005A7180">
        <w:t>μ</w:t>
      </w:r>
      <w:r w:rsidR="006D39D4">
        <w:t>s</w:t>
      </w:r>
      <w:r w:rsidR="00B64DE4">
        <w:t>, as depic</w:t>
      </w:r>
      <w:r w:rsidR="00797C89">
        <w:t>ted in figure 2. So there will not be more synchronous DC operations.</w:t>
      </w:r>
      <w:r w:rsidR="00B64DE4">
        <w:t xml:space="preserve"> According to [6] the </w:t>
      </w:r>
      <w:r w:rsidR="00B64DE4" w:rsidRPr="00B64DE4">
        <w:t>5% loss of scheduling opportunities in the PSCell</w:t>
      </w:r>
      <w:r w:rsidR="00B64DE4">
        <w:t xml:space="preserve"> comes from the </w:t>
      </w:r>
      <w:r w:rsidR="0028025D">
        <w:t>enlargement of measurement gap under asynchronous</w:t>
      </w:r>
      <w:r w:rsidR="00797C89">
        <w:t xml:space="preserve"> DC operation</w:t>
      </w:r>
      <w:r w:rsidR="0028025D">
        <w:t>. However, as there will not be more synchronous DC operations</w:t>
      </w:r>
      <w:r w:rsidR="00797C89">
        <w:t xml:space="preserve">, </w:t>
      </w:r>
      <w:r w:rsidR="00706FD6">
        <w:t xml:space="preserve">there will not be less </w:t>
      </w:r>
      <w:r w:rsidR="00706FD6" w:rsidRPr="00B64DE4">
        <w:t>scheduling opportunitie</w:t>
      </w:r>
      <w:r w:rsidR="00706FD6">
        <w:t>s comparing to the original SSTD measurements. In this sense, modifying the definition of SSTD measurements</w:t>
      </w:r>
      <w:r w:rsidR="007A52F3">
        <w:t xml:space="preserve"> is unnecessary since it </w:t>
      </w:r>
      <w:r w:rsidR="00706FD6">
        <w:t xml:space="preserve">won’t increase </w:t>
      </w:r>
      <w:r w:rsidR="00706FD6" w:rsidRPr="00B64DE4">
        <w:t>scheduling opportunitie</w:t>
      </w:r>
      <w:r w:rsidR="00706FD6">
        <w:t>s. Of course we can enlarge the threshold to have more synchronous DC operations, but it is another</w:t>
      </w:r>
      <w:r w:rsidR="007A52F3">
        <w:t xml:space="preserve"> problem.</w:t>
      </w:r>
    </w:p>
    <w:p w14:paraId="3E8754D5" w14:textId="735FBF9E" w:rsidR="00087C7D" w:rsidRPr="003E6EC0" w:rsidRDefault="007A52F3" w:rsidP="003E6EC0">
      <w:pPr>
        <w:pStyle w:val="Caption"/>
        <w:rPr>
          <w:rFonts w:ascii="Times New Roman" w:hAnsi="Times New Roman" w:cs="Times New Roman"/>
          <w:i/>
        </w:rPr>
      </w:pPr>
      <w:r w:rsidRPr="007A52F3">
        <w:rPr>
          <w:rFonts w:ascii="Times New Roman" w:hAnsi="Times New Roman" w:cs="Times New Roman"/>
          <w:b/>
          <w:i/>
        </w:rPr>
        <w:t xml:space="preserve">Observation 1: </w:t>
      </w:r>
      <w:r>
        <w:rPr>
          <w:rFonts w:ascii="Times New Roman" w:hAnsi="Times New Roman" w:cs="Times New Roman"/>
          <w:i/>
        </w:rPr>
        <w:t>M</w:t>
      </w:r>
      <w:r w:rsidRPr="007A52F3">
        <w:rPr>
          <w:rFonts w:ascii="Times New Roman" w:hAnsi="Times New Roman" w:cs="Times New Roman"/>
          <w:i/>
        </w:rPr>
        <w:t>odifying the definition of SSTD cannot bring more scheduling opportunities.</w:t>
      </w:r>
    </w:p>
    <w:p w14:paraId="28DDC424" w14:textId="644008FB" w:rsidR="003E6EC0" w:rsidRDefault="00087C7D" w:rsidP="007A52F3">
      <w:r>
        <w:t>So modifying the definition of SSTD measurement is unnecessary, what about introducing the original LTE SSTD measurement into NR?</w:t>
      </w:r>
      <w:r w:rsidR="009D2DF4">
        <w:t xml:space="preserve"> It depends on the benefits received from having more synchronous DC operations</w:t>
      </w:r>
      <w:r w:rsidR="009D2DF4">
        <w:rPr>
          <w:rFonts w:hint="eastAsia"/>
        </w:rPr>
        <w:t xml:space="preserve">. </w:t>
      </w:r>
      <w:r w:rsidR="00125DE8">
        <w:t xml:space="preserve">From the aspect of </w:t>
      </w:r>
      <w:r w:rsidR="00125DE8" w:rsidRPr="00664CC1">
        <w:t>implementation</w:t>
      </w:r>
      <w:r w:rsidR="00125DE8">
        <w:t xml:space="preserve">, </w:t>
      </w:r>
      <w:r w:rsidR="00125DE8" w:rsidRPr="007E5E06">
        <w:t>synchronous DC</w:t>
      </w:r>
      <w:r w:rsidR="00125DE8">
        <w:t xml:space="preserve"> consumes less hardware resource because it is easier to coordinate the data flows of MeNB</w:t>
      </w:r>
      <w:r w:rsidR="00125DE8">
        <w:rPr>
          <w:rFonts w:hint="eastAsia"/>
        </w:rPr>
        <w:t xml:space="preserve"> and SeNB </w:t>
      </w:r>
      <w:r w:rsidR="00125DE8">
        <w:t xml:space="preserve">in </w:t>
      </w:r>
      <w:r w:rsidR="00125DE8" w:rsidRPr="007E5E06">
        <w:t>synchronous DC</w:t>
      </w:r>
      <w:r w:rsidR="00125DE8">
        <w:t xml:space="preserve"> operation. And the </w:t>
      </w:r>
      <w:r w:rsidR="00125DE8" w:rsidRPr="00B64DE4">
        <w:t>5% loss of scheduling opportunities in the PSCell</w:t>
      </w:r>
      <w:r w:rsidR="00125DE8">
        <w:t xml:space="preserve"> mentioned in [6] can be avoided. However, </w:t>
      </w:r>
      <w:r w:rsidR="00832F48">
        <w:t>“</w:t>
      </w:r>
      <w:r w:rsidR="00125DE8">
        <w:t>since the baseline receiver and transmitter for NSA operation should assume independent dual FFT/iFFT for the LTE and NR radio so there is no strong need for any UE capability for synchro</w:t>
      </w:r>
      <w:r w:rsidR="00832F48">
        <w:t>nous LTE-</w:t>
      </w:r>
      <w:r w:rsidR="00125DE8">
        <w:t>NR dual connectivity</w:t>
      </w:r>
      <w:r w:rsidR="00832F48">
        <w:t>”</w:t>
      </w:r>
      <w:r w:rsidR="00125DE8">
        <w:t xml:space="preserve"> [7]</w:t>
      </w:r>
      <w:r w:rsidR="00832F48">
        <w:t xml:space="preserve">. Besides, </w:t>
      </w:r>
      <w:r w:rsidR="003E6EC0">
        <w:t>some other related problems such as power control are under discussion in RAN</w:t>
      </w:r>
      <w:r w:rsidR="003E6EC0">
        <w:rPr>
          <w:rFonts w:hint="eastAsia"/>
        </w:rPr>
        <w:t>1</w:t>
      </w:r>
      <w:r w:rsidR="003E6EC0">
        <w:t>. That is what we will discuss in the next section.</w:t>
      </w:r>
    </w:p>
    <w:p w14:paraId="1E4A8E98" w14:textId="77777777" w:rsidR="00125DE8" w:rsidRPr="003E6EC0" w:rsidRDefault="00125DE8" w:rsidP="007A52F3"/>
    <w:p w14:paraId="5B996AAB" w14:textId="79D7A553" w:rsidR="003C2B12" w:rsidRPr="007E5E06" w:rsidRDefault="00664CC1" w:rsidP="007E5E06">
      <w:pPr>
        <w:pStyle w:val="Heading1"/>
        <w:jc w:val="both"/>
        <w:rPr>
          <w:rFonts w:ascii="Arial" w:hAnsi="Arial" w:cs="Arial"/>
          <w:lang w:val="en-US"/>
        </w:rPr>
      </w:pPr>
      <w:r>
        <w:rPr>
          <w:rFonts w:ascii="Arial" w:hAnsi="Arial" w:cs="Arial"/>
          <w:lang w:val="en-US"/>
        </w:rPr>
        <w:lastRenderedPageBreak/>
        <w:t xml:space="preserve">Power Allocation for </w:t>
      </w:r>
      <w:r w:rsidR="007E5E06">
        <w:rPr>
          <w:rFonts w:ascii="Arial" w:hAnsi="Arial" w:cs="Arial"/>
          <w:lang w:val="en-US"/>
        </w:rPr>
        <w:t>S</w:t>
      </w:r>
      <w:r w:rsidR="00B947EF">
        <w:rPr>
          <w:rFonts w:ascii="Arial" w:hAnsi="Arial" w:cs="Arial"/>
          <w:lang w:val="en-US"/>
        </w:rPr>
        <w:t>ync</w:t>
      </w:r>
      <w:r>
        <w:rPr>
          <w:rFonts w:ascii="Arial" w:hAnsi="Arial" w:cs="Arial"/>
          <w:lang w:val="en-US"/>
        </w:rPr>
        <w:t xml:space="preserve"> </w:t>
      </w:r>
      <w:r w:rsidR="00B947EF">
        <w:rPr>
          <w:rFonts w:ascii="Arial" w:hAnsi="Arial" w:cs="Arial"/>
          <w:lang w:val="en-US"/>
        </w:rPr>
        <w:t>and Async DC</w:t>
      </w:r>
    </w:p>
    <w:p w14:paraId="5698DF9D" w14:textId="72F1FAC8" w:rsidR="00E95A37" w:rsidRPr="00E95A37" w:rsidRDefault="003E6EC0" w:rsidP="00C81E8E">
      <w:r>
        <w:t>F</w:t>
      </w:r>
      <w:r w:rsidR="00664CC1">
        <w:t xml:space="preserve">rom the aspect of </w:t>
      </w:r>
      <w:r w:rsidR="00CB784F">
        <w:t xml:space="preserve">3GPP specification, </w:t>
      </w:r>
      <w:r w:rsidR="00E95A37">
        <w:t>the</w:t>
      </w:r>
      <w:r w:rsidR="00CB784F">
        <w:t xml:space="preserve"> major difference between </w:t>
      </w:r>
      <w:r w:rsidR="00CB784F" w:rsidRPr="007E5E06">
        <w:t>synchronous DC and asynchronous DC</w:t>
      </w:r>
      <w:r w:rsidR="00CB784F">
        <w:t xml:space="preserve"> is the power allocation </w:t>
      </w:r>
      <w:r w:rsidR="00EC4787">
        <w:t>procedures</w:t>
      </w:r>
      <w:r w:rsidR="00CB784F">
        <w:t xml:space="preserve">. </w:t>
      </w:r>
      <w:r w:rsidR="00E95A37">
        <w:t>For LTE, it is specified in</w:t>
      </w:r>
      <w:r w:rsidR="00710627">
        <w:t xml:space="preserve"> sub clause </w:t>
      </w:r>
      <w:r w:rsidR="00710627" w:rsidRPr="00E9040D">
        <w:rPr>
          <w:rFonts w:hint="eastAsia"/>
        </w:rPr>
        <w:t>5.1.</w:t>
      </w:r>
      <w:r w:rsidR="00710627" w:rsidRPr="009C48BE">
        <w:t>4</w:t>
      </w:r>
      <w:r w:rsidR="00710627">
        <w:t xml:space="preserve"> of </w:t>
      </w:r>
      <w:r w:rsidR="00993613">
        <w:t>[6]</w:t>
      </w:r>
      <w:r w:rsidR="00E95A37">
        <w:t xml:space="preserve"> which is </w:t>
      </w:r>
      <w:r w:rsidR="00E95A37" w:rsidRPr="00E95A37">
        <w:t>duplicate</w:t>
      </w:r>
      <w:r w:rsidR="00E95A37">
        <w:t>d here</w:t>
      </w:r>
      <w:r w:rsidR="00710627">
        <w:t>:</w:t>
      </w:r>
    </w:p>
    <w:tbl>
      <w:tblPr>
        <w:tblStyle w:val="TableGrid"/>
        <w:tblW w:w="0" w:type="auto"/>
        <w:tblLook w:val="04A0" w:firstRow="1" w:lastRow="0" w:firstColumn="1" w:lastColumn="0" w:noHBand="0" w:noVBand="1"/>
      </w:tblPr>
      <w:tblGrid>
        <w:gridCol w:w="8296"/>
      </w:tblGrid>
      <w:tr w:rsidR="00EC4787" w14:paraId="2DC7CBB4" w14:textId="77777777" w:rsidTr="00EC4787">
        <w:tc>
          <w:tcPr>
            <w:tcW w:w="8296" w:type="dxa"/>
          </w:tcPr>
          <w:p w14:paraId="44C88EAE" w14:textId="77777777" w:rsidR="00EC4787" w:rsidRDefault="00EC4787" w:rsidP="00EC4787">
            <w:pPr>
              <w:pStyle w:val="B1"/>
              <w:ind w:left="400" w:hanging="400"/>
            </w:pPr>
            <w:r>
              <w:t>-</w:t>
            </w:r>
            <w:r>
              <w:tab/>
              <w:t xml:space="preserve">if the UE supports synchronous dual connectivity but does not support asynchronous dual connectivity, or if the UE supports both synchronous dual connectivity and asynchronous dual connectivity and if the higher layer parameter </w:t>
            </w:r>
            <w:r w:rsidRPr="004001CD">
              <w:rPr>
                <w:i/>
              </w:rPr>
              <w:t>powerControlMode</w:t>
            </w:r>
            <w:r w:rsidRPr="001A242A">
              <w:rPr>
                <w:i/>
              </w:rPr>
              <w:t xml:space="preserve"> </w:t>
            </w:r>
            <w:r>
              <w:t>indicates dual connectivity power control mode 1</w:t>
            </w:r>
          </w:p>
          <w:p w14:paraId="5D168931" w14:textId="4CB1845E" w:rsidR="00EC4787" w:rsidRDefault="00EC4787" w:rsidP="00EC4787">
            <w:pPr>
              <w:pStyle w:val="B2"/>
            </w:pPr>
            <w:r>
              <w:t>-</w:t>
            </w:r>
            <w:r>
              <w:tab/>
              <w:t xml:space="preserve">if the </w:t>
            </w:r>
            <w:r w:rsidRPr="00C67795">
              <w:rPr>
                <w:rFonts w:eastAsia="MS Mincho"/>
                <w:lang w:eastAsia="ja-JP"/>
              </w:rPr>
              <w:t xml:space="preserve">maximum uplink timing difference between </w:t>
            </w:r>
            <w:r>
              <w:rPr>
                <w:rFonts w:eastAsia="MS Mincho"/>
                <w:lang w:eastAsia="ja-JP"/>
              </w:rPr>
              <w:t xml:space="preserve">transmitted </w:t>
            </w:r>
            <w:r w:rsidRPr="00C67795">
              <w:rPr>
                <w:rFonts w:eastAsia="MS Mincho"/>
                <w:lang w:eastAsia="ja-JP"/>
              </w:rPr>
              <w:t>signals to di</w:t>
            </w:r>
            <w:r>
              <w:rPr>
                <w:rFonts w:eastAsia="MS Mincho"/>
                <w:lang w:eastAsia="ja-JP"/>
              </w:rPr>
              <w:t xml:space="preserve">fferent serving cells including </w:t>
            </w:r>
            <w:r w:rsidRPr="00C67795">
              <w:rPr>
                <w:rFonts w:eastAsia="MS Mincho"/>
                <w:lang w:eastAsia="ja-JP"/>
              </w:rPr>
              <w:t xml:space="preserve">serving cells belonging to different CGs is equal to or less than </w:t>
            </w:r>
            <w:r>
              <w:rPr>
                <w:rFonts w:eastAsia="MS Mincho"/>
                <w:lang w:eastAsia="ja-JP"/>
              </w:rPr>
              <w:t>the</w:t>
            </w:r>
            <w:r w:rsidRPr="00092B0B">
              <w:rPr>
                <w:rFonts w:eastAsia="MS Mincho"/>
                <w:lang w:eastAsia="ja-JP"/>
              </w:rPr>
              <w:t xml:space="preserve"> </w:t>
            </w:r>
            <w:r w:rsidRPr="00A92B8F">
              <w:rPr>
                <w:rFonts w:eastAsia="MS Mincho"/>
                <w:lang w:eastAsia="ja-JP"/>
              </w:rPr>
              <w:t>minimum requirement for maximum transmission timing difference for synchronous dual connectivity defined in [</w:t>
            </w:r>
            <w:r w:rsidR="00993613">
              <w:rPr>
                <w:rFonts w:eastAsia="MS Mincho"/>
                <w:lang w:eastAsia="ja-JP"/>
              </w:rPr>
              <w:t>7</w:t>
            </w:r>
            <w:r w:rsidRPr="00A92B8F">
              <w:rPr>
                <w:rFonts w:eastAsia="MS Mincho"/>
                <w:lang w:eastAsia="ja-JP"/>
              </w:rPr>
              <w:t>]</w:t>
            </w:r>
            <w:r>
              <w:rPr>
                <w:rFonts w:eastAsia="MS Mincho"/>
                <w:lang w:eastAsia="ja-JP"/>
              </w:rPr>
              <w:t>.</w:t>
            </w:r>
          </w:p>
          <w:p w14:paraId="6582F61D" w14:textId="02DA9EF6" w:rsidR="00EC4787" w:rsidRDefault="00EC4787" w:rsidP="00C80101">
            <w:pPr>
              <w:pStyle w:val="B3"/>
            </w:pPr>
            <w:r>
              <w:t>-</w:t>
            </w:r>
            <w:r>
              <w:tab/>
              <w:t>The UE shall use the procedures de</w:t>
            </w:r>
            <w:r w:rsidR="00C80101">
              <w:t>scribed in sub clause 5.1.4.1.</w:t>
            </w:r>
          </w:p>
          <w:p w14:paraId="6C28A37B" w14:textId="77777777" w:rsidR="00EC4787" w:rsidRDefault="00EC4787" w:rsidP="00EC4787">
            <w:pPr>
              <w:pStyle w:val="B1"/>
              <w:ind w:left="400" w:hanging="400"/>
            </w:pPr>
            <w:r>
              <w:t>-</w:t>
            </w:r>
            <w:r>
              <w:tab/>
              <w:t xml:space="preserve">if the UE supports both synchronous dual connectivity and asynchronous dual connectivity and if the higher layer parameter </w:t>
            </w:r>
            <w:r w:rsidRPr="004D6623">
              <w:rPr>
                <w:bCs/>
                <w:i/>
                <w:noProof/>
                <w:lang w:val="en-US"/>
              </w:rPr>
              <w:t>powerControlMode</w:t>
            </w:r>
            <w:r w:rsidRPr="001A242A">
              <w:rPr>
                <w:i/>
              </w:rPr>
              <w:t xml:space="preserve"> </w:t>
            </w:r>
            <w:r>
              <w:t>does not indicate dual connectivity power control mode 1</w:t>
            </w:r>
          </w:p>
          <w:p w14:paraId="47F56F9E" w14:textId="51DEE354" w:rsidR="00EC4787" w:rsidRPr="00EC4787" w:rsidRDefault="00EC4787" w:rsidP="00C80101">
            <w:pPr>
              <w:pStyle w:val="B2"/>
            </w:pPr>
            <w:r>
              <w:t>-</w:t>
            </w:r>
            <w:r>
              <w:tab/>
              <w:t>The UE shall use the procedures described in sub clause 5.1.4.2 .</w:t>
            </w:r>
          </w:p>
        </w:tc>
      </w:tr>
    </w:tbl>
    <w:p w14:paraId="714A9DE9" w14:textId="77777777" w:rsidR="00E95A37" w:rsidRDefault="00E95A37" w:rsidP="00C81E8E"/>
    <w:p w14:paraId="3AB74067" w14:textId="77777777" w:rsidR="00F10932" w:rsidRDefault="00EC4787" w:rsidP="00C81E8E">
      <w:r>
        <w:rPr>
          <w:rFonts w:hint="eastAsia"/>
        </w:rPr>
        <w:t>In</w:t>
      </w:r>
      <w:r>
        <w:t xml:space="preserve"> short</w:t>
      </w:r>
      <w:r>
        <w:rPr>
          <w:rFonts w:hint="eastAsia"/>
        </w:rPr>
        <w:t xml:space="preserve">, </w:t>
      </w:r>
      <w:r w:rsidRPr="007E5E06">
        <w:t xml:space="preserve">synchronous </w:t>
      </w:r>
      <w:r w:rsidR="00C80101">
        <w:t>DC and a</w:t>
      </w:r>
      <w:r w:rsidR="00C80101" w:rsidRPr="007E5E06">
        <w:t xml:space="preserve">synchronous </w:t>
      </w:r>
      <w:r w:rsidRPr="007E5E06">
        <w:t xml:space="preserve">DC </w:t>
      </w:r>
      <w:r>
        <w:t>will use the power allocation procedure described in subclause 5.1.4.1 (</w:t>
      </w:r>
      <w:r w:rsidR="00C80101">
        <w:t xml:space="preserve">DC power control </w:t>
      </w:r>
      <w:r>
        <w:t>mode 1) and subclause 5.1.4.2 (</w:t>
      </w:r>
      <w:r w:rsidR="00C80101">
        <w:t xml:space="preserve">DC power control </w:t>
      </w:r>
      <w:r>
        <w:t xml:space="preserve">mode 2) of TS 36.213 respectively. </w:t>
      </w:r>
      <w:r w:rsidR="00A27F7D">
        <w:t xml:space="preserve">Generally speaking, </w:t>
      </w:r>
      <w:r w:rsidR="00BB5202" w:rsidRPr="00BB5202">
        <w:t xml:space="preserve">the power </w:t>
      </w:r>
      <w:r w:rsidR="002037FB">
        <w:t>allocation</w:t>
      </w:r>
      <w:r w:rsidR="00BB5202" w:rsidRPr="00BB5202">
        <w:t xml:space="preserve"> in </w:t>
      </w:r>
      <w:r w:rsidR="002037FB" w:rsidRPr="007E5E06">
        <w:t xml:space="preserve">synchronous </w:t>
      </w:r>
      <w:r w:rsidR="002037FB">
        <w:t>DC</w:t>
      </w:r>
      <w:r w:rsidR="00BB5202" w:rsidRPr="00BB5202">
        <w:t xml:space="preserve"> is</w:t>
      </w:r>
      <w:r w:rsidR="00335E52">
        <w:t xml:space="preserve"> simpler</w:t>
      </w:r>
      <w:r w:rsidR="00BB5202" w:rsidRPr="00BB5202">
        <w:t xml:space="preserve"> </w:t>
      </w:r>
      <w:r w:rsidR="00335E52">
        <w:t xml:space="preserve">and </w:t>
      </w:r>
      <w:r w:rsidR="00A27F7D">
        <w:t xml:space="preserve">more accurate. </w:t>
      </w:r>
      <w:r w:rsidR="009B12C7">
        <w:rPr>
          <w:rFonts w:hint="eastAsia"/>
        </w:rPr>
        <w:t xml:space="preserve">However, </w:t>
      </w:r>
      <w:r w:rsidR="009B12C7">
        <w:t>it is important to note that the observation “</w:t>
      </w:r>
      <w:r w:rsidR="009B12C7" w:rsidRPr="00BB5202">
        <w:t xml:space="preserve">power </w:t>
      </w:r>
      <w:r w:rsidR="009B12C7">
        <w:t>allocation</w:t>
      </w:r>
      <w:r w:rsidR="009B12C7" w:rsidRPr="00BB5202">
        <w:t xml:space="preserve"> in </w:t>
      </w:r>
      <w:r w:rsidR="009B12C7" w:rsidRPr="007E5E06">
        <w:t xml:space="preserve">synchronous </w:t>
      </w:r>
      <w:r w:rsidR="009B12C7">
        <w:t>DC</w:t>
      </w:r>
      <w:r w:rsidR="009B12C7" w:rsidRPr="00BB5202">
        <w:t xml:space="preserve"> is</w:t>
      </w:r>
      <w:r w:rsidR="009B12C7">
        <w:t xml:space="preserve"> generally simpler</w:t>
      </w:r>
      <w:r w:rsidR="009B12C7" w:rsidRPr="00BB5202">
        <w:t xml:space="preserve"> </w:t>
      </w:r>
      <w:r w:rsidR="009B12C7">
        <w:t xml:space="preserve">and </w:t>
      </w:r>
      <w:r w:rsidR="009B12C7" w:rsidRPr="00BB5202">
        <w:t>more accurate</w:t>
      </w:r>
      <w:r w:rsidR="009B12C7">
        <w:t xml:space="preserve">” still depends on the </w:t>
      </w:r>
      <w:r w:rsidR="009B12C7" w:rsidRPr="00A30A58">
        <w:t>premise</w:t>
      </w:r>
      <w:r w:rsidR="009B12C7">
        <w:t xml:space="preserve"> that subframe is the minimum scheduling unit in LTE. </w:t>
      </w:r>
    </w:p>
    <w:p w14:paraId="74FDD13F" w14:textId="59619D78" w:rsidR="000F2281" w:rsidRDefault="00A27F7D" w:rsidP="00C81E8E">
      <w:r>
        <w:t xml:space="preserve">In </w:t>
      </w:r>
      <w:r w:rsidRPr="00BB5202">
        <w:t xml:space="preserve">synchronous </w:t>
      </w:r>
      <w:r w:rsidR="009B12C7">
        <w:t xml:space="preserve">LTE </w:t>
      </w:r>
      <w:r w:rsidRPr="00BB5202">
        <w:t xml:space="preserve">DC, </w:t>
      </w:r>
      <w:r>
        <w:t>a subframe of the first cell group (labeled CG1) only overlaps in time with one subframe of the second cell group (labeled as CG2) so UE</w:t>
      </w:r>
      <w:r>
        <w:rPr>
          <w:rFonts w:hint="eastAsia"/>
        </w:rPr>
        <w:t xml:space="preserve"> only needs to consider the power allocation between these two subframes. </w:t>
      </w:r>
      <w:r w:rsidRPr="00BB5202">
        <w:t xml:space="preserve">In addition, since </w:t>
      </w:r>
      <w:r>
        <w:t>two CGs</w:t>
      </w:r>
      <w:r w:rsidRPr="00BB5202">
        <w:t xml:space="preserve"> h</w:t>
      </w:r>
      <w:r>
        <w:t xml:space="preserve">ave the same scheduling timing UE can allocate power among them based on their transmission situations such as </w:t>
      </w:r>
      <w:r w:rsidRPr="00BB5202">
        <w:t xml:space="preserve">whether </w:t>
      </w:r>
      <w:r>
        <w:t xml:space="preserve">a PRACH </w:t>
      </w:r>
      <w:r w:rsidRPr="00BB5202">
        <w:t xml:space="preserve">or </w:t>
      </w:r>
      <w:r>
        <w:t>a PUCCH/PUSCH contains HARQ ACK/SR is transmitted or not</w:t>
      </w:r>
      <w:r w:rsidRPr="00BB5202">
        <w:t xml:space="preserve">. </w:t>
      </w:r>
      <w:r>
        <w:rPr>
          <w:rFonts w:hint="eastAsia"/>
        </w:rPr>
        <w:t>O</w:t>
      </w:r>
      <w:r>
        <w:t xml:space="preserve">n the other hand, in </w:t>
      </w:r>
      <w:r w:rsidRPr="00BB5202">
        <w:t xml:space="preserve">asynchronous </w:t>
      </w:r>
      <w:r w:rsidR="009B12C7">
        <w:t xml:space="preserve">LTE </w:t>
      </w:r>
      <w:r w:rsidRPr="00BB5202">
        <w:t>DC</w:t>
      </w:r>
      <w:r>
        <w:t xml:space="preserve"> </w:t>
      </w:r>
      <w:r w:rsidRPr="00BB5202">
        <w:t xml:space="preserve">a </w:t>
      </w:r>
      <w:r>
        <w:t xml:space="preserve">subframe of CG1 </w:t>
      </w:r>
      <w:r w:rsidR="009B12C7">
        <w:t>may overlaps</w:t>
      </w:r>
      <w:r>
        <w:t xml:space="preserve"> in time </w:t>
      </w:r>
      <w:r w:rsidRPr="00BB5202">
        <w:t xml:space="preserve">with </w:t>
      </w:r>
      <w:r>
        <w:t>two subframes of CG2 so it is need to take both subframes of CG2 into consideration when allocating power for CG1.</w:t>
      </w:r>
      <w:r w:rsidRPr="00BB5202">
        <w:t xml:space="preserve"> In addition, UE cannot take into account the transmission of the second subframe </w:t>
      </w:r>
      <w:r w:rsidR="009B12C7">
        <w:t>CG1 when</w:t>
      </w:r>
      <w:r>
        <w:t xml:space="preserve"> </w:t>
      </w:r>
      <w:r w:rsidRPr="00BB5202">
        <w:t>allocat</w:t>
      </w:r>
      <w:r>
        <w:t xml:space="preserve">ing power for CG1 </w:t>
      </w:r>
      <w:r w:rsidRPr="00BB5202">
        <w:t>due to the dif</w:t>
      </w:r>
      <w:r>
        <w:t>ferent timing of the scheduling</w:t>
      </w:r>
      <w:r w:rsidRPr="00BB5202">
        <w:t>.</w:t>
      </w:r>
      <w:r w:rsidR="00F10932">
        <w:rPr>
          <w:rFonts w:hint="eastAsia"/>
        </w:rPr>
        <w:t xml:space="preserve"> </w:t>
      </w:r>
      <w:r w:rsidR="00F10932">
        <w:t>But i</w:t>
      </w:r>
      <w:r w:rsidR="001A29E1">
        <w:t xml:space="preserve">n NR case, </w:t>
      </w:r>
      <w:r w:rsidR="00CA7C31">
        <w:t xml:space="preserve">a subframe of LTE MeNB may overlap in time with multiple slots of NR SeNB. It is actually the similar </w:t>
      </w:r>
      <w:r w:rsidR="00F10932">
        <w:t>situation</w:t>
      </w:r>
      <w:r w:rsidR="00CA7C31">
        <w:t xml:space="preserve"> faced in a</w:t>
      </w:r>
      <w:r w:rsidR="00CA7C31" w:rsidRPr="007E5E06">
        <w:t>synchronous</w:t>
      </w:r>
      <w:r w:rsidR="0011402E">
        <w:t xml:space="preserve"> </w:t>
      </w:r>
      <w:r w:rsidR="00F10932">
        <w:t xml:space="preserve">LTE </w:t>
      </w:r>
      <w:r w:rsidR="0011402E">
        <w:t>DC operation, and this problem still exists e</w:t>
      </w:r>
      <w:r w:rsidR="00CA7C31">
        <w:t xml:space="preserve">ven we modified the definition of SSTD measurement to </w:t>
      </w:r>
      <w:r w:rsidR="0011402E">
        <w:t xml:space="preserve">allow the </w:t>
      </w:r>
      <w:r w:rsidR="0011402E" w:rsidRPr="0011402E">
        <w:t>synchronization</w:t>
      </w:r>
      <w:r w:rsidR="0011402E">
        <w:t xml:space="preserve"> at LTE subfram</w:t>
      </w:r>
      <w:r w:rsidR="00F10932">
        <w:t xml:space="preserve">e boundary and NR TTI boundary. </w:t>
      </w:r>
    </w:p>
    <w:p w14:paraId="4E46CDB0" w14:textId="485166DB" w:rsidR="00A62EDB" w:rsidRDefault="00CC3034" w:rsidP="00C81E8E">
      <w:r>
        <w:lastRenderedPageBreak/>
        <w:t xml:space="preserve">Consider the situation demonstrated in Fig.1 as an example. Assume the subframe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t xml:space="preserve"> of LTE MeNB is aligned with the second slot of subframe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Pr>
          <w:rFonts w:hint="eastAsia"/>
        </w:rPr>
        <w:t xml:space="preserve"> of NR SeNB at the TTI boundary</w:t>
      </w:r>
      <w:r>
        <w:t xml:space="preserve"> and are considered as </w:t>
      </w:r>
      <w:r w:rsidRPr="007E5E06">
        <w:t>synchron</w:t>
      </w:r>
      <w:r>
        <w:t>ized. We further assume that there i</w:t>
      </w:r>
      <w:r w:rsidR="005D1F0E">
        <w:t xml:space="preserve">s a uplink </w:t>
      </w:r>
      <w:r>
        <w:t xml:space="preserve">transmission in the second slot of subframe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Pr>
          <w:rFonts w:hint="eastAsia"/>
        </w:rPr>
        <w:t xml:space="preserve"> and </w:t>
      </w:r>
      <w:r w:rsidR="005D1F0E">
        <w:t>no transmission occurs during</w:t>
      </w:r>
      <w:r>
        <w:t xml:space="preserve"> the first slot of subframe </w:t>
      </w:r>
      <m:oMath>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+1</m:t>
        </m:r>
      </m:oMath>
      <w:r w:rsidR="005D1F0E">
        <w:rPr>
          <w:rFonts w:hint="eastAsia"/>
        </w:rPr>
        <w:t xml:space="preserve">. </w:t>
      </w:r>
      <w:r w:rsidR="001E1CD6">
        <w:t xml:space="preserve">As a result, </w:t>
      </w:r>
      <w:r w:rsidR="005D1F0E">
        <w:t xml:space="preserve">UE should reserve a </w:t>
      </w:r>
      <w:r w:rsidR="005D1F0E" w:rsidRPr="005D1F0E">
        <w:t xml:space="preserve">proportion </w:t>
      </w:r>
      <m:oMath>
        <m:sSub>
          <m:sSubPr>
            <m:ctrlPr>
              <w:rPr>
                <w:rFonts w:ascii="Cambria Math" w:hAnsi="Cambria Math"/>
              </w:rPr>
            </m:ctrlPr>
          </m:sSubPr>
          <m:e>
            <m:r>
              <w:rPr>
                <w:rFonts w:ascii="Cambria Math" w:hAnsi="Cambria Math"/>
              </w:rPr>
              <m:t>γ</m:t>
            </m:r>
            <m:ctrlPr>
              <w:rPr>
                <w:rFonts w:ascii="Cambria Math" w:hAnsi="Cambria Math"/>
                <w:i/>
              </w:rPr>
            </m:ctrlPr>
          </m:e>
          <m:sub>
            <m:r>
              <w:rPr>
                <w:rFonts w:ascii="Cambria Math" w:hAnsi="Cambria Math"/>
              </w:rPr>
              <m:t>SCG</m:t>
            </m:r>
          </m:sub>
        </m:sSub>
      </m:oMath>
      <w:r w:rsidR="005D1F0E">
        <w:rPr>
          <w:rFonts w:hint="eastAsia"/>
        </w:rPr>
        <w:t xml:space="preserve"> of </w:t>
      </w:r>
      <w:r w:rsidR="001E1CD6">
        <w:t xml:space="preserve">transmit power </w:t>
      </w:r>
      <w:r w:rsidR="005D1F0E">
        <w:t>for NR</w:t>
      </w:r>
      <w:r w:rsidR="001E1CD6">
        <w:t xml:space="preserve"> uplink</w:t>
      </w:r>
      <w:r w:rsidR="005D1F0E">
        <w:t xml:space="preserve"> transmission</w:t>
      </w:r>
      <w:r w:rsidR="00281725">
        <w:t>. S</w:t>
      </w:r>
      <w:r w:rsidR="001E1CD6">
        <w:t xml:space="preserve">o </w:t>
      </w:r>
      <w:r w:rsidR="00281725">
        <w:t xml:space="preserve">the transmit power of MeNB can at most be </w:t>
      </w:r>
      <m:oMath>
        <m:d>
          <m:dPr>
            <m:ctrlPr>
              <w:rPr>
                <w:rFonts w:ascii="Cambria Math" w:hAnsi="Cambria Math"/>
              </w:rPr>
            </m:ctrlPr>
          </m:dPr>
          <m:e>
            <m:r>
              <w:rPr>
                <w:rFonts w:ascii="Cambria Math" w:hAnsi="Cambria Math"/>
              </w:rPr>
              <m:t>1-</m:t>
            </m:r>
            <m:sSub>
              <m:sSubPr>
                <m:ctrlPr>
                  <w:rPr>
                    <w:rFonts w:ascii="Cambria Math" w:hAnsi="Cambria Math"/>
                    <w:i/>
                  </w:rPr>
                </m:ctrlPr>
              </m:sSubPr>
              <m:e>
                <m:r>
                  <w:rPr>
                    <w:rFonts w:ascii="Cambria Math" w:hAnsi="Cambria Math"/>
                  </w:rPr>
                  <m:t>γ</m:t>
                </m:r>
              </m:e>
              <m:sub>
                <m:r>
                  <w:rPr>
                    <w:rFonts w:ascii="Cambria Math" w:hAnsi="Cambria Math"/>
                  </w:rPr>
                  <m:t>SCG</m:t>
                </m:r>
              </m:sub>
            </m:sSub>
          </m:e>
        </m:d>
        <m:sSub>
          <m:sSubPr>
            <m:ctrlPr>
              <w:rPr>
                <w:rFonts w:ascii="Cambria Math" w:hAnsi="Cambria Math"/>
                <w:i/>
              </w:rPr>
            </m:ctrlPr>
          </m:sSubPr>
          <m:e>
            <m:r>
              <w:rPr>
                <w:rFonts w:ascii="Cambria Math" w:hAnsi="Cambria Math"/>
              </w:rPr>
              <m:t>C</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00281725">
        <w:t xml:space="preserve"> although there is no NR uplink transmission occurs in the first slot of subframe </w:t>
      </w:r>
      <m:oMath>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+1</m:t>
        </m:r>
      </m:oMath>
      <w:r w:rsidR="00281725">
        <w:t xml:space="preserve">. There will be a waste of reserved transmit power. In this case </w:t>
      </w:r>
      <w:r w:rsidR="001A29E1">
        <w:t>UE may not benefit</w:t>
      </w:r>
      <w:r w:rsidR="00CA7C31">
        <w:t>s</w:t>
      </w:r>
      <w:r w:rsidR="001A29E1">
        <w:t xml:space="preserve"> from </w:t>
      </w:r>
      <w:r w:rsidR="00CA7C31">
        <w:t xml:space="preserve">the </w:t>
      </w:r>
      <w:r w:rsidR="001A29E1" w:rsidRPr="007E5E06">
        <w:t xml:space="preserve">synchronous </w:t>
      </w:r>
      <w:r w:rsidR="001A29E1">
        <w:t xml:space="preserve">DC operation </w:t>
      </w:r>
      <w:r w:rsidR="00063699">
        <w:t>o</w:t>
      </w:r>
      <w:r w:rsidR="00063699" w:rsidRPr="00063699">
        <w:t>n the issue of power allocation</w:t>
      </w:r>
      <w:r w:rsidR="00063699">
        <w:t xml:space="preserve"> under t</w:t>
      </w:r>
      <w:r w:rsidR="00063699" w:rsidRPr="00063699">
        <w:t xml:space="preserve">he existing power </w:t>
      </w:r>
      <w:r w:rsidR="00063699">
        <w:t>allocation</w:t>
      </w:r>
      <w:r w:rsidR="00063699" w:rsidRPr="00063699">
        <w:t xml:space="preserve"> </w:t>
      </w:r>
      <w:r w:rsidR="00063699">
        <w:t>procedure</w:t>
      </w:r>
      <w:r w:rsidR="00956E94">
        <w:t>.</w:t>
      </w:r>
    </w:p>
    <w:p w14:paraId="6090B9DE" w14:textId="77777777" w:rsidR="00473B4B" w:rsidRDefault="00473B4B" w:rsidP="00473B4B">
      <w:r>
        <w:rPr>
          <w:noProof/>
        </w:rPr>
        <w:drawing>
          <wp:inline distT="0" distB="0" distL="0" distR="0" wp14:anchorId="0642804D" wp14:editId="4040AC4A">
            <wp:extent cx="5272405" cy="1028700"/>
            <wp:effectExtent l="0" t="0" r="4445" b="0"/>
            <wp:docPr id="46" name="图片 46" descr="C:\Users\w00195360\Pictures\LTE_N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C:\Users\w00195360\Pictures\LTE_NR.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2405" cy="1028700"/>
                    </a:xfrm>
                    <a:prstGeom prst="rect">
                      <a:avLst/>
                    </a:prstGeom>
                    <a:noFill/>
                    <a:ln>
                      <a:noFill/>
                    </a:ln>
                  </pic:spPr>
                </pic:pic>
              </a:graphicData>
            </a:graphic>
          </wp:inline>
        </w:drawing>
      </w:r>
    </w:p>
    <w:p w14:paraId="76F8063A" w14:textId="34804C2B" w:rsidR="00473B4B" w:rsidRPr="00473B4B" w:rsidRDefault="00473B4B" w:rsidP="00473B4B">
      <w:pPr>
        <w:jc w:val="center"/>
        <w:rPr>
          <w:rFonts w:ascii="Arial" w:eastAsia="Arial Unicode MS" w:hAnsi="Arial" w:cs="Arial"/>
          <w:b/>
        </w:rPr>
      </w:pPr>
      <w:r w:rsidRPr="00473B4B">
        <w:rPr>
          <w:rFonts w:ascii="Arial" w:eastAsia="Arial Unicode MS" w:hAnsi="Arial" w:cs="Arial"/>
          <w:b/>
        </w:rPr>
        <w:t xml:space="preserve">Figure </w:t>
      </w:r>
      <w:r w:rsidR="00501D32">
        <w:rPr>
          <w:rFonts w:ascii="Arial" w:eastAsia="Arial Unicode MS" w:hAnsi="Arial" w:cs="Arial"/>
          <w:b/>
        </w:rPr>
        <w:t>2</w:t>
      </w:r>
      <w:r w:rsidRPr="00473B4B">
        <w:rPr>
          <w:rFonts w:ascii="Arial" w:eastAsia="Arial Unicode MS" w:hAnsi="Arial" w:cs="Arial"/>
          <w:b/>
        </w:rPr>
        <w:t xml:space="preserve">: Demonstration on power allocation between </w:t>
      </w:r>
      <w:r w:rsidRPr="00473B4B">
        <w:rPr>
          <w:rFonts w:ascii="Arial" w:eastAsia="Arial Unicode MS" w:hAnsi="Arial" w:cs="Arial"/>
          <w:b/>
          <w:noProof/>
        </w:rPr>
        <mc:AlternateContent>
          <mc:Choice Requires="wpg">
            <w:drawing>
              <wp:anchor distT="0" distB="0" distL="114300" distR="114300" simplePos="0" relativeHeight="251659264" behindDoc="0" locked="0" layoutInCell="1" allowOverlap="1" wp14:anchorId="0C1E7411" wp14:editId="07577A35">
                <wp:simplePos x="0" y="0"/>
                <wp:positionH relativeFrom="column">
                  <wp:posOffset>-1143000</wp:posOffset>
                </wp:positionH>
                <wp:positionV relativeFrom="paragraph">
                  <wp:posOffset>-8890000</wp:posOffset>
                </wp:positionV>
                <wp:extent cx="10898657" cy="2523185"/>
                <wp:effectExtent l="0" t="0" r="17145" b="0"/>
                <wp:wrapNone/>
                <wp:docPr id="26" name="组合 25"/>
                <wp:cNvGraphicFramePr/>
                <a:graphic xmlns:a="http://schemas.openxmlformats.org/drawingml/2006/main">
                  <a:graphicData uri="http://schemas.microsoft.com/office/word/2010/wordprocessingGroup">
                    <wpg:wgp>
                      <wpg:cNvGrpSpPr/>
                      <wpg:grpSpPr>
                        <a:xfrm>
                          <a:off x="0" y="0"/>
                          <a:ext cx="10898657" cy="2523185"/>
                          <a:chOff x="0" y="0"/>
                          <a:chExt cx="10898657" cy="2523185"/>
                        </a:xfrm>
                      </wpg:grpSpPr>
                      <wps:wsp>
                        <wps:cNvPr id="2" name="矩形 2"/>
                        <wps:cNvSpPr/>
                        <wps:spPr>
                          <a:xfrm>
                            <a:off x="4670853" y="416014"/>
                            <a:ext cx="3113902" cy="461319"/>
                          </a:xfrm>
                          <a:prstGeom prst="rect">
                            <a:avLst/>
                          </a:prstGeom>
                          <a:solidFill>
                            <a:schemeClr val="accent1">
                              <a:lumMod val="40000"/>
                              <a:lumOff val="6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556951" y="1084998"/>
                            <a:ext cx="1556951" cy="461319"/>
                          </a:xfrm>
                          <a:prstGeom prst="rect">
                            <a:avLst/>
                          </a:prstGeom>
                          <a:noFill/>
                          <a:ln>
                            <a:solidFill>
                              <a:schemeClr val="accent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3113902" y="1084998"/>
                            <a:ext cx="1556951" cy="461319"/>
                          </a:xfrm>
                          <a:prstGeom prst="rect">
                            <a:avLst/>
                          </a:prstGeom>
                          <a:noFill/>
                          <a:ln>
                            <a:solidFill>
                              <a:schemeClr val="accent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0" y="1084998"/>
                            <a:ext cx="1556951" cy="461319"/>
                          </a:xfrm>
                          <a:prstGeom prst="rect">
                            <a:avLst/>
                          </a:prstGeom>
                          <a:noFill/>
                          <a:ln>
                            <a:solidFill>
                              <a:schemeClr val="accent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4670853" y="1084997"/>
                            <a:ext cx="1556951" cy="461319"/>
                          </a:xfrm>
                          <a:prstGeom prst="rect">
                            <a:avLst/>
                          </a:prstGeom>
                          <a:solidFill>
                            <a:schemeClr val="accent2">
                              <a:lumMod val="60000"/>
                              <a:lumOff val="4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7784755" y="416012"/>
                            <a:ext cx="3113902" cy="461319"/>
                          </a:xfrm>
                          <a:prstGeom prst="rect">
                            <a:avLst/>
                          </a:prstGeom>
                          <a:noFill/>
                          <a:ln>
                            <a:solidFill>
                              <a:schemeClr val="accent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1556951" y="416011"/>
                            <a:ext cx="3113902" cy="461319"/>
                          </a:xfrm>
                          <a:prstGeom prst="rect">
                            <a:avLst/>
                          </a:prstGeom>
                          <a:noFill/>
                          <a:ln>
                            <a:solidFill>
                              <a:schemeClr val="accent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6227804" y="1084995"/>
                            <a:ext cx="1556951" cy="461319"/>
                          </a:xfrm>
                          <a:prstGeom prst="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7784755" y="1084994"/>
                            <a:ext cx="1556951" cy="461319"/>
                          </a:xfrm>
                          <a:prstGeom prst="rect">
                            <a:avLst/>
                          </a:prstGeom>
                          <a:noFill/>
                          <a:ln>
                            <a:solidFill>
                              <a:schemeClr val="accent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文本框 12"/>
                        <wps:cNvSpPr txBox="1"/>
                        <wps:spPr>
                          <a:xfrm>
                            <a:off x="5556343" y="689"/>
                            <a:ext cx="1343025" cy="883920"/>
                          </a:xfrm>
                          <a:prstGeom prst="rect">
                            <a:avLst/>
                          </a:prstGeom>
                          <a:noFill/>
                        </wps:spPr>
                        <wps:txbx>
                          <w:txbxContent>
                            <w:p w14:paraId="2413C3A0" w14:textId="77777777" w:rsidR="00473B4B" w:rsidRDefault="00473B4B" w:rsidP="00473B4B">
                              <w:pPr>
                                <w:pStyle w:val="NormalWeb"/>
                                <w:spacing w:before="0" w:beforeAutospacing="0" w:after="0" w:afterAutospacing="0"/>
                              </w:pPr>
                              <w:r>
                                <w:rPr>
                                  <w:rFonts w:asciiTheme="minorHAnsi" w:eastAsiaTheme="minorEastAsia" w:hAnsi="Calibri" w:cstheme="minorBidi"/>
                                  <w:color w:val="000000" w:themeColor="text1"/>
                                  <w:kern w:val="24"/>
                                  <w:sz w:val="36"/>
                                  <w:szCs w:val="36"/>
                                </w:rPr>
                                <w:t xml:space="preserve">Subframe </w:t>
                              </w:r>
                              <m:oMath>
                                <m:sSub>
                                  <m:sSubPr>
                                    <m:ctrlPr>
                                      <w:rPr>
                                        <w:rFonts w:ascii="Cambria Math" w:eastAsiaTheme="minorEastAsia" w:hAnsi="Cambria Math" w:cstheme="minorBidi"/>
                                        <w:i/>
                                        <w:iCs/>
                                        <w:color w:val="000000" w:themeColor="text1"/>
                                        <w:kern w:val="24"/>
                                        <w:sz w:val="36"/>
                                        <w:szCs w:val="36"/>
                                      </w:rPr>
                                    </m:ctrlPr>
                                  </m:sSubPr>
                                  <m:e>
                                    <m:r>
                                      <w:rPr>
                                        <w:rFonts w:ascii="Cambria Math" w:eastAsiaTheme="minorEastAsia" w:hAnsi="Cambria Math" w:cstheme="minorBidi"/>
                                        <w:color w:val="000000" w:themeColor="text1"/>
                                        <w:kern w:val="24"/>
                                        <w:sz w:val="36"/>
                                        <w:szCs w:val="36"/>
                                      </w:rPr>
                                      <m:t>i</m:t>
                                    </m:r>
                                  </m:e>
                                  <m:sub>
                                    <m:r>
                                      <w:rPr>
                                        <w:rFonts w:ascii="Cambria Math" w:eastAsiaTheme="minorEastAsia" w:hAnsi="Cambria Math" w:cstheme="minorBidi"/>
                                        <w:color w:val="000000" w:themeColor="text1"/>
                                        <w:kern w:val="24"/>
                                        <w:sz w:val="36"/>
                                        <w:szCs w:val="36"/>
                                      </w:rPr>
                                      <m:t>1</m:t>
                                    </m:r>
                                  </m:sub>
                                </m:sSub>
                              </m:oMath>
                            </w:p>
                          </w:txbxContent>
                        </wps:txbx>
                        <wps:bodyPr wrap="square" rtlCol="0">
                          <a:spAutoFit/>
                        </wps:bodyPr>
                      </wps:wsp>
                      <wps:wsp>
                        <wps:cNvPr id="12" name="文本框 13"/>
                        <wps:cNvSpPr txBox="1"/>
                        <wps:spPr>
                          <a:xfrm>
                            <a:off x="3999413" y="1639265"/>
                            <a:ext cx="1343025" cy="883920"/>
                          </a:xfrm>
                          <a:prstGeom prst="rect">
                            <a:avLst/>
                          </a:prstGeom>
                          <a:noFill/>
                        </wps:spPr>
                        <wps:txbx>
                          <w:txbxContent>
                            <w:p w14:paraId="2544A1F9" w14:textId="77777777" w:rsidR="00473B4B" w:rsidRDefault="00473B4B" w:rsidP="00473B4B">
                              <w:pPr>
                                <w:pStyle w:val="NormalWeb"/>
                                <w:spacing w:before="0" w:beforeAutospacing="0" w:after="0" w:afterAutospacing="0"/>
                              </w:pPr>
                              <w:r>
                                <w:rPr>
                                  <w:rFonts w:asciiTheme="minorHAnsi" w:eastAsiaTheme="minorEastAsia" w:hAnsi="Calibri" w:cstheme="minorBidi"/>
                                  <w:color w:val="000000" w:themeColor="text1"/>
                                  <w:kern w:val="24"/>
                                  <w:sz w:val="36"/>
                                  <w:szCs w:val="36"/>
                                </w:rPr>
                                <w:t xml:space="preserve">Subframe </w:t>
                              </w:r>
                              <m:oMath>
                                <m:sSub>
                                  <m:sSubPr>
                                    <m:ctrlPr>
                                      <w:rPr>
                                        <w:rFonts w:ascii="Cambria Math" w:eastAsiaTheme="minorEastAsia" w:hAnsi="Cambria Math" w:cstheme="minorBidi"/>
                                        <w:i/>
                                        <w:iCs/>
                                        <w:color w:val="000000" w:themeColor="text1"/>
                                        <w:kern w:val="24"/>
                                        <w:sz w:val="36"/>
                                        <w:szCs w:val="36"/>
                                      </w:rPr>
                                    </m:ctrlPr>
                                  </m:sSubPr>
                                  <m:e>
                                    <m:r>
                                      <w:rPr>
                                        <w:rFonts w:ascii="Cambria Math" w:eastAsiaTheme="minorEastAsia" w:hAnsi="Cambria Math" w:cstheme="minorBidi"/>
                                        <w:color w:val="000000" w:themeColor="text1"/>
                                        <w:kern w:val="24"/>
                                        <w:sz w:val="36"/>
                                        <w:szCs w:val="36"/>
                                      </w:rPr>
                                      <m:t>i</m:t>
                                    </m:r>
                                  </m:e>
                                  <m:sub>
                                    <m:r>
                                      <w:rPr>
                                        <w:rFonts w:ascii="Cambria Math" w:eastAsiaTheme="minorEastAsia" w:hAnsi="Cambria Math" w:cstheme="minorBidi"/>
                                        <w:color w:val="000000" w:themeColor="text1"/>
                                        <w:kern w:val="24"/>
                                        <w:sz w:val="36"/>
                                        <w:szCs w:val="36"/>
                                      </w:rPr>
                                      <m:t>2</m:t>
                                    </m:r>
                                  </m:sub>
                                </m:sSub>
                              </m:oMath>
                            </w:p>
                          </w:txbxContent>
                        </wps:txbx>
                        <wps:bodyPr wrap="square" rtlCol="0">
                          <a:spAutoFit/>
                        </wps:bodyPr>
                      </wps:wsp>
                      <wps:wsp>
                        <wps:cNvPr id="13" name="文本框 14"/>
                        <wps:cNvSpPr txBox="1"/>
                        <wps:spPr>
                          <a:xfrm>
                            <a:off x="6899091" y="1638090"/>
                            <a:ext cx="1750060" cy="883920"/>
                          </a:xfrm>
                          <a:prstGeom prst="rect">
                            <a:avLst/>
                          </a:prstGeom>
                          <a:noFill/>
                        </wps:spPr>
                        <wps:txbx>
                          <w:txbxContent>
                            <w:p w14:paraId="5506A6EC" w14:textId="77777777" w:rsidR="00473B4B" w:rsidRDefault="00473B4B" w:rsidP="00473B4B">
                              <w:pPr>
                                <w:pStyle w:val="NormalWeb"/>
                                <w:spacing w:before="0" w:beforeAutospacing="0" w:after="0" w:afterAutospacing="0"/>
                              </w:pPr>
                              <w:r>
                                <w:rPr>
                                  <w:rFonts w:asciiTheme="minorHAnsi" w:eastAsiaTheme="minorEastAsia" w:hAnsi="Calibri" w:cstheme="minorBidi"/>
                                  <w:color w:val="000000" w:themeColor="text1"/>
                                  <w:kern w:val="24"/>
                                  <w:sz w:val="36"/>
                                  <w:szCs w:val="36"/>
                                </w:rPr>
                                <w:t xml:space="preserve">Subframe </w:t>
                              </w:r>
                              <m:oMath>
                                <m:sSub>
                                  <m:sSubPr>
                                    <m:ctrlPr>
                                      <w:rPr>
                                        <w:rFonts w:ascii="Cambria Math" w:eastAsiaTheme="minorEastAsia" w:hAnsi="Cambria Math" w:cstheme="minorBidi"/>
                                        <w:i/>
                                        <w:iCs/>
                                        <w:color w:val="000000" w:themeColor="text1"/>
                                        <w:kern w:val="24"/>
                                        <w:sz w:val="36"/>
                                        <w:szCs w:val="36"/>
                                      </w:rPr>
                                    </m:ctrlPr>
                                  </m:sSubPr>
                                  <m:e>
                                    <m:r>
                                      <w:rPr>
                                        <w:rFonts w:ascii="Cambria Math" w:eastAsiaTheme="minorEastAsia" w:hAnsi="Cambria Math" w:cstheme="minorBidi"/>
                                        <w:color w:val="000000" w:themeColor="text1"/>
                                        <w:kern w:val="24"/>
                                        <w:sz w:val="36"/>
                                        <w:szCs w:val="36"/>
                                      </w:rPr>
                                      <m:t>i</m:t>
                                    </m:r>
                                  </m:e>
                                  <m:sub>
                                    <m:r>
                                      <w:rPr>
                                        <w:rFonts w:ascii="Cambria Math" w:eastAsiaTheme="minorEastAsia" w:hAnsi="Cambria Math" w:cstheme="minorBidi"/>
                                        <w:color w:val="000000" w:themeColor="text1"/>
                                        <w:kern w:val="24"/>
                                        <w:sz w:val="36"/>
                                        <w:szCs w:val="36"/>
                                      </w:rPr>
                                      <m:t>2</m:t>
                                    </m:r>
                                  </m:sub>
                                </m:sSub>
                                <m:r>
                                  <w:rPr>
                                    <w:rFonts w:ascii="Cambria Math" w:eastAsiaTheme="minorEastAsia" w:hAnsi="Cambria Math" w:cstheme="minorBidi"/>
                                    <w:color w:val="000000" w:themeColor="text1"/>
                                    <w:kern w:val="24"/>
                                    <w:sz w:val="36"/>
                                    <w:szCs w:val="36"/>
                                  </w:rPr>
                                  <m:t>+1</m:t>
                                </m:r>
                              </m:oMath>
                            </w:p>
                          </w:txbxContent>
                        </wps:txbx>
                        <wps:bodyPr wrap="square" rtlCol="0">
                          <a:spAutoFit/>
                        </wps:bodyPr>
                      </wps:wsp>
                      <wps:wsp>
                        <wps:cNvPr id="14" name="文本框 15"/>
                        <wps:cNvSpPr txBox="1"/>
                        <wps:spPr>
                          <a:xfrm>
                            <a:off x="8548693" y="685"/>
                            <a:ext cx="1715135" cy="883920"/>
                          </a:xfrm>
                          <a:prstGeom prst="rect">
                            <a:avLst/>
                          </a:prstGeom>
                          <a:noFill/>
                        </wps:spPr>
                        <wps:txbx>
                          <w:txbxContent>
                            <w:p w14:paraId="7B3E80ED" w14:textId="77777777" w:rsidR="00473B4B" w:rsidRDefault="00473B4B" w:rsidP="00473B4B">
                              <w:pPr>
                                <w:pStyle w:val="NormalWeb"/>
                                <w:spacing w:before="0" w:beforeAutospacing="0" w:after="0" w:afterAutospacing="0"/>
                              </w:pPr>
                              <w:r>
                                <w:rPr>
                                  <w:rFonts w:asciiTheme="minorHAnsi" w:eastAsiaTheme="minorEastAsia" w:hAnsi="Calibri" w:cstheme="minorBidi"/>
                                  <w:color w:val="000000" w:themeColor="text1"/>
                                  <w:kern w:val="24"/>
                                  <w:sz w:val="36"/>
                                  <w:szCs w:val="36"/>
                                </w:rPr>
                                <w:t xml:space="preserve">Subframe </w:t>
                              </w:r>
                              <m:oMath>
                                <m:sSub>
                                  <m:sSubPr>
                                    <m:ctrlPr>
                                      <w:rPr>
                                        <w:rFonts w:ascii="Cambria Math" w:eastAsiaTheme="minorEastAsia" w:hAnsi="Cambria Math" w:cstheme="minorBidi"/>
                                        <w:i/>
                                        <w:iCs/>
                                        <w:color w:val="000000" w:themeColor="text1"/>
                                        <w:kern w:val="24"/>
                                        <w:sz w:val="36"/>
                                        <w:szCs w:val="36"/>
                                      </w:rPr>
                                    </m:ctrlPr>
                                  </m:sSubPr>
                                  <m:e>
                                    <m:r>
                                      <w:rPr>
                                        <w:rFonts w:ascii="Cambria Math" w:eastAsiaTheme="minorEastAsia" w:hAnsi="Cambria Math" w:cstheme="minorBidi"/>
                                        <w:color w:val="000000" w:themeColor="text1"/>
                                        <w:kern w:val="24"/>
                                        <w:sz w:val="36"/>
                                        <w:szCs w:val="36"/>
                                      </w:rPr>
                                      <m:t>i</m:t>
                                    </m:r>
                                  </m:e>
                                  <m:sub>
                                    <m:r>
                                      <w:rPr>
                                        <w:rFonts w:ascii="Cambria Math" w:eastAsiaTheme="minorEastAsia" w:hAnsi="Cambria Math" w:cstheme="minorBidi"/>
                                        <w:color w:val="000000" w:themeColor="text1"/>
                                        <w:kern w:val="24"/>
                                        <w:sz w:val="36"/>
                                        <w:szCs w:val="36"/>
                                      </w:rPr>
                                      <m:t>1</m:t>
                                    </m:r>
                                  </m:sub>
                                </m:sSub>
                                <m:r>
                                  <w:rPr>
                                    <w:rFonts w:ascii="Cambria Math" w:eastAsiaTheme="minorEastAsia" w:hAnsi="Cambria Math" w:cstheme="minorBidi"/>
                                    <w:color w:val="000000" w:themeColor="text1"/>
                                    <w:kern w:val="24"/>
                                    <w:sz w:val="36"/>
                                    <w:szCs w:val="36"/>
                                  </w:rPr>
                                  <m:t>+1</m:t>
                                </m:r>
                              </m:oMath>
                            </w:p>
                          </w:txbxContent>
                        </wps:txbx>
                        <wps:bodyPr wrap="square" rtlCol="0">
                          <a:spAutoFit/>
                        </wps:bodyPr>
                      </wps:wsp>
                      <wps:wsp>
                        <wps:cNvPr id="15" name="文本框 16"/>
                        <wps:cNvSpPr txBox="1"/>
                        <wps:spPr>
                          <a:xfrm>
                            <a:off x="2413648" y="0"/>
                            <a:ext cx="1721485" cy="883920"/>
                          </a:xfrm>
                          <a:prstGeom prst="rect">
                            <a:avLst/>
                          </a:prstGeom>
                          <a:noFill/>
                        </wps:spPr>
                        <wps:txbx>
                          <w:txbxContent>
                            <w:p w14:paraId="27E4F218" w14:textId="77777777" w:rsidR="00473B4B" w:rsidRDefault="00473B4B" w:rsidP="00473B4B">
                              <w:pPr>
                                <w:pStyle w:val="NormalWeb"/>
                                <w:spacing w:before="0" w:beforeAutospacing="0" w:after="0" w:afterAutospacing="0"/>
                              </w:pPr>
                              <w:r>
                                <w:rPr>
                                  <w:rFonts w:asciiTheme="minorHAnsi" w:eastAsiaTheme="minorEastAsia" w:hAnsi="Calibri" w:cstheme="minorBidi"/>
                                  <w:color w:val="000000" w:themeColor="text1"/>
                                  <w:kern w:val="24"/>
                                  <w:sz w:val="36"/>
                                  <w:szCs w:val="36"/>
                                </w:rPr>
                                <w:t xml:space="preserve">Subframe </w:t>
                              </w:r>
                              <m:oMath>
                                <m:sSub>
                                  <m:sSubPr>
                                    <m:ctrlPr>
                                      <w:rPr>
                                        <w:rFonts w:ascii="Cambria Math" w:eastAsiaTheme="minorEastAsia" w:hAnsi="Cambria Math" w:cstheme="minorBidi"/>
                                        <w:i/>
                                        <w:iCs/>
                                        <w:color w:val="000000" w:themeColor="text1"/>
                                        <w:kern w:val="24"/>
                                        <w:sz w:val="36"/>
                                        <w:szCs w:val="36"/>
                                      </w:rPr>
                                    </m:ctrlPr>
                                  </m:sSubPr>
                                  <m:e>
                                    <m:r>
                                      <w:rPr>
                                        <w:rFonts w:ascii="Cambria Math" w:eastAsiaTheme="minorEastAsia" w:hAnsi="Cambria Math" w:cstheme="minorBidi"/>
                                        <w:color w:val="000000" w:themeColor="text1"/>
                                        <w:kern w:val="24"/>
                                        <w:sz w:val="36"/>
                                        <w:szCs w:val="36"/>
                                      </w:rPr>
                                      <m:t>i</m:t>
                                    </m:r>
                                  </m:e>
                                  <m:sub>
                                    <m:r>
                                      <w:rPr>
                                        <w:rFonts w:ascii="Cambria Math" w:eastAsiaTheme="minorEastAsia" w:hAnsi="Cambria Math" w:cstheme="minorBidi"/>
                                        <w:color w:val="000000" w:themeColor="text1"/>
                                        <w:kern w:val="24"/>
                                        <w:sz w:val="36"/>
                                        <w:szCs w:val="36"/>
                                      </w:rPr>
                                      <m:t>1</m:t>
                                    </m:r>
                                  </m:sub>
                                </m:sSub>
                                <m:r>
                                  <w:rPr>
                                    <w:rFonts w:ascii="Cambria Math" w:eastAsiaTheme="minorEastAsia" w:hAnsi="Cambria Math" w:cstheme="minorBidi"/>
                                    <w:color w:val="000000" w:themeColor="text1"/>
                                    <w:kern w:val="24"/>
                                    <w:sz w:val="36"/>
                                    <w:szCs w:val="36"/>
                                  </w:rPr>
                                  <m:t>-1</m:t>
                                </m:r>
                              </m:oMath>
                            </w:p>
                          </w:txbxContent>
                        </wps:txbx>
                        <wps:bodyPr wrap="square" rtlCol="0">
                          <a:spAutoFit/>
                        </wps:bodyPr>
                      </wps:wsp>
                      <wps:wsp>
                        <wps:cNvPr id="16" name="文本框 17"/>
                        <wps:cNvSpPr txBox="1"/>
                        <wps:spPr>
                          <a:xfrm>
                            <a:off x="708441" y="1638090"/>
                            <a:ext cx="1733550" cy="883920"/>
                          </a:xfrm>
                          <a:prstGeom prst="rect">
                            <a:avLst/>
                          </a:prstGeom>
                          <a:noFill/>
                        </wps:spPr>
                        <wps:txbx>
                          <w:txbxContent>
                            <w:p w14:paraId="15284F13" w14:textId="77777777" w:rsidR="00473B4B" w:rsidRDefault="00473B4B" w:rsidP="00473B4B">
                              <w:pPr>
                                <w:pStyle w:val="NormalWeb"/>
                                <w:spacing w:before="0" w:beforeAutospacing="0" w:after="0" w:afterAutospacing="0"/>
                              </w:pPr>
                              <w:r>
                                <w:rPr>
                                  <w:rFonts w:asciiTheme="minorHAnsi" w:eastAsiaTheme="minorEastAsia" w:hAnsi="Calibri" w:cstheme="minorBidi"/>
                                  <w:color w:val="000000" w:themeColor="text1"/>
                                  <w:kern w:val="24"/>
                                  <w:sz w:val="36"/>
                                  <w:szCs w:val="36"/>
                                </w:rPr>
                                <w:t xml:space="preserve">Subframe </w:t>
                              </w:r>
                              <m:oMath>
                                <m:sSub>
                                  <m:sSubPr>
                                    <m:ctrlPr>
                                      <w:rPr>
                                        <w:rFonts w:ascii="Cambria Math" w:eastAsiaTheme="minorEastAsia" w:hAnsi="Cambria Math" w:cstheme="minorBidi"/>
                                        <w:i/>
                                        <w:iCs/>
                                        <w:color w:val="000000" w:themeColor="text1"/>
                                        <w:kern w:val="24"/>
                                        <w:sz w:val="36"/>
                                        <w:szCs w:val="36"/>
                                      </w:rPr>
                                    </m:ctrlPr>
                                  </m:sSubPr>
                                  <m:e>
                                    <m:r>
                                      <w:rPr>
                                        <w:rFonts w:ascii="Cambria Math" w:eastAsiaTheme="minorEastAsia" w:hAnsi="Cambria Math" w:cstheme="minorBidi"/>
                                        <w:color w:val="000000" w:themeColor="text1"/>
                                        <w:kern w:val="24"/>
                                        <w:sz w:val="36"/>
                                        <w:szCs w:val="36"/>
                                      </w:rPr>
                                      <m:t>i</m:t>
                                    </m:r>
                                  </m:e>
                                  <m:sub>
                                    <m:r>
                                      <w:rPr>
                                        <w:rFonts w:ascii="Cambria Math" w:eastAsiaTheme="minorEastAsia" w:hAnsi="Cambria Math" w:cstheme="minorBidi"/>
                                        <w:color w:val="000000" w:themeColor="text1"/>
                                        <w:kern w:val="24"/>
                                        <w:sz w:val="36"/>
                                        <w:szCs w:val="36"/>
                                      </w:rPr>
                                      <m:t>2</m:t>
                                    </m:r>
                                  </m:sub>
                                </m:sSub>
                                <m:r>
                                  <w:rPr>
                                    <w:rFonts w:ascii="Cambria Math" w:eastAsiaTheme="minorEastAsia" w:hAnsi="Cambria Math" w:cstheme="minorBidi"/>
                                    <w:color w:val="000000" w:themeColor="text1"/>
                                    <w:kern w:val="24"/>
                                    <w:sz w:val="36"/>
                                    <w:szCs w:val="36"/>
                                  </w:rPr>
                                  <m:t>-1</m:t>
                                </m:r>
                              </m:oMath>
                            </w:p>
                          </w:txbxContent>
                        </wps:txbx>
                        <wps:bodyPr wrap="square" rtlCol="0">
                          <a:spAutoFit/>
                        </wps:bodyPr>
                      </wps:wsp>
                      <wps:wsp>
                        <wps:cNvPr id="17" name="文本框 18"/>
                        <wps:cNvSpPr txBox="1"/>
                        <wps:spPr>
                          <a:xfrm>
                            <a:off x="3525741" y="1130839"/>
                            <a:ext cx="733425" cy="487680"/>
                          </a:xfrm>
                          <a:prstGeom prst="rect">
                            <a:avLst/>
                          </a:prstGeom>
                          <a:noFill/>
                        </wps:spPr>
                        <wps:txbx>
                          <w:txbxContent>
                            <w:p w14:paraId="466E42E6" w14:textId="77777777" w:rsidR="00473B4B" w:rsidRDefault="00473B4B" w:rsidP="00473B4B">
                              <w:pPr>
                                <w:pStyle w:val="NormalWeb"/>
                                <w:spacing w:before="0" w:beforeAutospacing="0" w:after="0" w:afterAutospacing="0"/>
                              </w:pPr>
                              <w:r>
                                <w:rPr>
                                  <w:rFonts w:asciiTheme="minorHAnsi" w:eastAsiaTheme="minorEastAsia" w:hAnsi="Calibri" w:cstheme="minorBidi"/>
                                  <w:color w:val="000000" w:themeColor="text1"/>
                                  <w:kern w:val="24"/>
                                  <w:sz w:val="36"/>
                                  <w:szCs w:val="36"/>
                                </w:rPr>
                                <w:t>slot 1</w:t>
                              </w:r>
                            </w:p>
                          </w:txbxContent>
                        </wps:txbx>
                        <wps:bodyPr wrap="square" rtlCol="0">
                          <a:spAutoFit/>
                        </wps:bodyPr>
                      </wps:wsp>
                      <wps:wsp>
                        <wps:cNvPr id="18" name="文本框 19"/>
                        <wps:cNvSpPr txBox="1"/>
                        <wps:spPr>
                          <a:xfrm>
                            <a:off x="5074432" y="1130839"/>
                            <a:ext cx="733425" cy="487680"/>
                          </a:xfrm>
                          <a:prstGeom prst="rect">
                            <a:avLst/>
                          </a:prstGeom>
                          <a:noFill/>
                        </wps:spPr>
                        <wps:txbx>
                          <w:txbxContent>
                            <w:p w14:paraId="0F0957D6" w14:textId="77777777" w:rsidR="00473B4B" w:rsidRDefault="00473B4B" w:rsidP="00473B4B">
                              <w:pPr>
                                <w:pStyle w:val="NormalWeb"/>
                                <w:spacing w:before="0" w:beforeAutospacing="0" w:after="0" w:afterAutospacing="0"/>
                              </w:pPr>
                              <w:r>
                                <w:rPr>
                                  <w:rFonts w:asciiTheme="minorHAnsi" w:eastAsiaTheme="minorEastAsia" w:hAnsi="Calibri" w:cstheme="minorBidi"/>
                                  <w:color w:val="000000" w:themeColor="text1"/>
                                  <w:kern w:val="24"/>
                                  <w:sz w:val="36"/>
                                  <w:szCs w:val="36"/>
                                </w:rPr>
                                <w:t>slot 2</w:t>
                              </w:r>
                            </w:p>
                          </w:txbxContent>
                        </wps:txbx>
                        <wps:bodyPr wrap="square" rtlCol="0">
                          <a:spAutoFit/>
                        </wps:bodyPr>
                      </wps:wsp>
                      <wps:wsp>
                        <wps:cNvPr id="19" name="文本框 20"/>
                        <wps:cNvSpPr txBox="1"/>
                        <wps:spPr>
                          <a:xfrm>
                            <a:off x="6631362" y="1101321"/>
                            <a:ext cx="733425" cy="487680"/>
                          </a:xfrm>
                          <a:prstGeom prst="rect">
                            <a:avLst/>
                          </a:prstGeom>
                          <a:noFill/>
                        </wps:spPr>
                        <wps:txbx>
                          <w:txbxContent>
                            <w:p w14:paraId="747B5DE4" w14:textId="77777777" w:rsidR="00473B4B" w:rsidRDefault="00473B4B" w:rsidP="00473B4B">
                              <w:pPr>
                                <w:pStyle w:val="NormalWeb"/>
                                <w:spacing w:before="0" w:beforeAutospacing="0" w:after="0" w:afterAutospacing="0"/>
                              </w:pPr>
                              <w:r>
                                <w:rPr>
                                  <w:rFonts w:asciiTheme="minorHAnsi" w:eastAsiaTheme="minorEastAsia" w:hAnsi="Calibri" w:cstheme="minorBidi"/>
                                  <w:color w:val="000000" w:themeColor="text1"/>
                                  <w:kern w:val="24"/>
                                  <w:sz w:val="36"/>
                                  <w:szCs w:val="36"/>
                                </w:rPr>
                                <w:t>slot 1</w:t>
                              </w:r>
                            </w:p>
                          </w:txbxContent>
                        </wps:txbx>
                        <wps:bodyPr wrap="square" rtlCol="0">
                          <a:spAutoFit/>
                        </wps:bodyPr>
                      </wps:wsp>
                      <wps:wsp>
                        <wps:cNvPr id="20" name="文本框 22"/>
                        <wps:cNvSpPr txBox="1"/>
                        <wps:spPr>
                          <a:xfrm>
                            <a:off x="8182111" y="1130839"/>
                            <a:ext cx="733425" cy="487680"/>
                          </a:xfrm>
                          <a:prstGeom prst="rect">
                            <a:avLst/>
                          </a:prstGeom>
                          <a:noFill/>
                        </wps:spPr>
                        <wps:txbx>
                          <w:txbxContent>
                            <w:p w14:paraId="3BCDFA06" w14:textId="77777777" w:rsidR="00473B4B" w:rsidRDefault="00473B4B" w:rsidP="00473B4B">
                              <w:pPr>
                                <w:pStyle w:val="NormalWeb"/>
                                <w:spacing w:before="0" w:beforeAutospacing="0" w:after="0" w:afterAutospacing="0"/>
                              </w:pPr>
                              <w:r>
                                <w:rPr>
                                  <w:rFonts w:asciiTheme="minorHAnsi" w:eastAsiaTheme="minorEastAsia" w:hAnsi="Calibri" w:cstheme="minorBidi"/>
                                  <w:color w:val="000000" w:themeColor="text1"/>
                                  <w:kern w:val="24"/>
                                  <w:sz w:val="36"/>
                                  <w:szCs w:val="36"/>
                                </w:rPr>
                                <w:t>slot 2</w:t>
                              </w:r>
                            </w:p>
                          </w:txbxContent>
                        </wps:txbx>
                        <wps:bodyPr wrap="square" rtlCol="0">
                          <a:spAutoFit/>
                        </wps:bodyPr>
                      </wps:wsp>
                      <wps:wsp>
                        <wps:cNvPr id="21" name="文本框 23"/>
                        <wps:cNvSpPr txBox="1"/>
                        <wps:spPr>
                          <a:xfrm>
                            <a:off x="187404" y="461944"/>
                            <a:ext cx="1182370" cy="487680"/>
                          </a:xfrm>
                          <a:prstGeom prst="rect">
                            <a:avLst/>
                          </a:prstGeom>
                          <a:noFill/>
                        </wps:spPr>
                        <wps:txbx>
                          <w:txbxContent>
                            <w:p w14:paraId="67FD9E4E" w14:textId="77777777" w:rsidR="00473B4B" w:rsidRDefault="00473B4B" w:rsidP="00473B4B">
                              <w:pPr>
                                <w:pStyle w:val="NormalWeb"/>
                                <w:spacing w:before="0" w:beforeAutospacing="0" w:after="0" w:afterAutospacing="0"/>
                              </w:pPr>
                              <w:r>
                                <w:rPr>
                                  <w:rFonts w:asciiTheme="minorHAnsi" w:eastAsiaTheme="minorEastAsia" w:hAnsi="Calibri" w:cstheme="minorBidi"/>
                                  <w:color w:val="000000" w:themeColor="text1"/>
                                  <w:kern w:val="24"/>
                                  <w:sz w:val="36"/>
                                  <w:szCs w:val="36"/>
                                </w:rPr>
                                <w:t>LTE MeNB</w:t>
                              </w:r>
                            </w:p>
                          </w:txbxContent>
                        </wps:txbx>
                        <wps:bodyPr wrap="square" rtlCol="0">
                          <a:spAutoFit/>
                        </wps:bodyPr>
                      </wps:wsp>
                      <wps:wsp>
                        <wps:cNvPr id="22" name="文本框 24"/>
                        <wps:cNvSpPr txBox="1"/>
                        <wps:spPr>
                          <a:xfrm>
                            <a:off x="9406448" y="1101321"/>
                            <a:ext cx="1182370" cy="487680"/>
                          </a:xfrm>
                          <a:prstGeom prst="rect">
                            <a:avLst/>
                          </a:prstGeom>
                          <a:noFill/>
                        </wps:spPr>
                        <wps:txbx>
                          <w:txbxContent>
                            <w:p w14:paraId="07AF0648" w14:textId="77777777" w:rsidR="00473B4B" w:rsidRDefault="00473B4B" w:rsidP="00473B4B">
                              <w:pPr>
                                <w:pStyle w:val="NormalWeb"/>
                                <w:spacing w:before="0" w:beforeAutospacing="0" w:after="0" w:afterAutospacing="0"/>
                              </w:pPr>
                              <w:r>
                                <w:rPr>
                                  <w:rFonts w:asciiTheme="minorHAnsi" w:eastAsiaTheme="minorEastAsia" w:hAnsi="Calibri" w:cstheme="minorBidi"/>
                                  <w:color w:val="000000" w:themeColor="text1"/>
                                  <w:kern w:val="24"/>
                                  <w:sz w:val="36"/>
                                  <w:szCs w:val="36"/>
                                </w:rPr>
                                <w:t>NR SeNB</w:t>
                              </w:r>
                            </w:p>
                          </w:txbxContent>
                        </wps:txbx>
                        <wps:bodyPr wrap="square" rtlCol="0">
                          <a:spAutoFit/>
                        </wps:bodyPr>
                      </wps:wsp>
                    </wpg:wgp>
                  </a:graphicData>
                </a:graphic>
              </wp:anchor>
            </w:drawing>
          </mc:Choice>
          <mc:Fallback>
            <w:pict>
              <v:group w14:anchorId="0C1E7411" id="组合 25" o:spid="_x0000_s1026" style="position:absolute;left:0;text-align:left;margin-left:-90pt;margin-top:-700pt;width:858.15pt;height:198.7pt;z-index:251659264" coordsize="108986,25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">
                <v:rect id="矩形 2" o:spid="_x0000_s1027" style="position:absolute;left:46708;top:4160;width:31139;height:4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ymcb8A&#10;AADaAAAADwAAAGRycy9kb3ducmV2LnhtbESPQYvCMBSE7wv+h/AEb2uqBynVKCIIPboq7B4fybMp&#10;Ni+liW3XX2+EhT0OM/MNs9mNrhE9daH2rGAxz0AQa29qrhRcL8fPHESIyAYbz6TglwLstpOPDRbG&#10;D/xF/TlWIkE4FKjAxtgWUgZtyWGY+5Y4eTffOYxJdpU0HQ4J7hq5zLKVdFhzWrDY0sGSvp8fTkH/&#10;/WNyXdk+f5oT1+NVl07mSs2m434NItIY/8N/7dIoWML7SroB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jKZxvwAAANoAAAAPAAAAAAAAAAAAAAAAAJgCAABkcnMvZG93bnJl&#10;di54bWxQSwUGAAAAAAQABAD1AAAAhAMAAAAA&#10;" fillcolor="#bdd6ee [1300]" strokecolor="#5b9bd5 [3204]" strokeweight="1pt"/>
                <v:rect id="矩形 3" o:spid="_x0000_s1028" style="position:absolute;left:15569;top:10849;width:15570;height:46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Ss+sIA&#10;AADaAAAADwAAAGRycy9kb3ducmV2LnhtbESPQWsCMRSE74L/IbyCN01aRcrWrGhRar1V1/tj87pZ&#10;dvOybKJu/31TKHgcZuYbZrUeXCtu1Ifas4bnmQJBXHpTc6WhOO+nryBCRDbYeiYNPxRgnY9HK8yM&#10;v/MX3U6xEgnCIUMNNsYukzKUlhyGme+Ik/fte4cxyb6Spsd7grtWvii1lA5rTgsWO3q3VDanq9NQ&#10;Li6L/e6zPW6Lgz1+0KZRKhZaT56GzRuISEN8hP/bB6NhDn9X0g2Q+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BKz6wgAAANoAAAAPAAAAAAAAAAAAAAAAAJgCAABkcnMvZG93&#10;bnJldi54bWxQSwUGAAAAAAQABAD1AAAAhwMAAAAA&#10;" filled="f" strokecolor="#5b9bd5 [3204]" strokeweight="1pt">
                  <v:stroke dashstyle="longDash"/>
                </v:rect>
                <v:rect id="矩形 4" o:spid="_x0000_s1029" style="position:absolute;left:31139;top:10849;width:15569;height:46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00jsEA&#10;AADaAAAADwAAAGRycy9kb3ducmV2LnhtbESPQWsCMRSE70L/Q3hCb5pYFimrUbRUar11Xe+PzXOz&#10;uHlZNqlu/30jCB6HmfmGWa4H14or9aHxrGE2VSCIK28arjWUx93kHUSIyAZbz6ThjwKsVy+jJebG&#10;3/iHrkWsRYJwyFGDjbHLpQyVJYdh6jvi5J197zAm2dfS9HhLcNfKN6Xm0mHDacFiRx+Wqkvx6zRU&#10;2SnbfX63h225t4cv2lyUiqXWr+NhswARaYjP8KO9NxoyuF9JN0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tNI7BAAAA2gAAAA8AAAAAAAAAAAAAAAAAmAIAAGRycy9kb3du&#10;cmV2LnhtbFBLBQYAAAAABAAEAPUAAACGAwAAAAA=&#10;" filled="f" strokecolor="#5b9bd5 [3204]" strokeweight="1pt">
                  <v:stroke dashstyle="longDash"/>
                </v:rect>
                <v:rect id="矩形 5" o:spid="_x0000_s1030" style="position:absolute;top:10849;width:15569;height:46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RFcIA&#10;AADaAAAADwAAAGRycy9kb3ducmV2LnhtbESPQWsCMRSE74L/IbyCN01arJStWdGiaL1V1/tj87pZ&#10;dvOybKJu/31TKHgcZuYbZrkaXCtu1Ifas4bnmQJBXHpTc6WhOO+mbyBCRDbYeiYNPxRglY9HS8yM&#10;v/MX3U6xEgnCIUMNNsYukzKUlhyGme+Ik/fte4cxyb6Spsd7grtWvii1kA5rTgsWO/qwVDanq9NQ&#10;zi/z3fazPW6Kgz3uad0oFQutJ0/D+h1EpCE+wv/tg9HwCn9X0g2Q+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ZEVwgAAANoAAAAPAAAAAAAAAAAAAAAAAJgCAABkcnMvZG93&#10;bnJldi54bWxQSwUGAAAAAAQABAD1AAAAhwMAAAAA&#10;" filled="f" strokecolor="#5b9bd5 [3204]" strokeweight="1pt">
                  <v:stroke dashstyle="longDash"/>
                </v:rect>
                <v:rect id="矩形 6" o:spid="_x0000_s1031" style="position:absolute;left:46708;top:10849;width:15570;height:46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9e0MAA&#10;AADaAAAADwAAAGRycy9kb3ducmV2LnhtbESPT2sCMRTE7wW/Q3iCl6JZRUS2RpGFQo/+vT+S52bp&#10;5mVJorv66ZtCocdhZn7DbHaDa8WDQmw8K5jPChDE2puGawWX8+d0DSImZIOtZ1LwpAi77ehtg6Xx&#10;PR/pcUq1yBCOJSqwKXWllFFbchhnviPO3s0HhynLUEsTsM9w18pFUaykw4bzgsWOKkv6+3R3CnRY&#10;Xm0VX0fshzYeDsv5e6WvSk3Gw/4DRKIh/Yf/2l9GwQp+r+QbIL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d9e0MAAAADaAAAADwAAAAAAAAAAAAAAAACYAgAAZHJzL2Rvd25y&#10;ZXYueG1sUEsFBgAAAAAEAAQA9QAAAIUDAAAAAA==&#10;" fillcolor="#f4b083 [1941]" strokecolor="#5b9bd5 [3204]" strokeweight="1pt"/>
                <v:rect id="矩形 7" o:spid="_x0000_s1032" style="position:absolute;left:77847;top:4160;width:31139;height:4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q+cIA&#10;AADaAAAADwAAAGRycy9kb3ducmV2LnhtbESPQWsCMRSE74L/IbyCN01apJatWdGiaL1V1/tj87pZ&#10;dvOybKJu/31TKHgcZuYbZrkaXCtu1Ifas4bnmQJBXHpTc6WhOO+mbyBCRDbYeiYNPxRglY9HS8yM&#10;v/MX3U6xEgnCIUMNNsYukzKUlhyGme+Ik/fte4cxyb6Spsd7grtWvij1Kh3WnBYsdvRhqWxOV6eh&#10;nF/mu+1ne9wUB3vc07pRKhZaT56G9TuISEN8hP/bB6NhAX9X0g2Q+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6r5wgAAANoAAAAPAAAAAAAAAAAAAAAAAJgCAABkcnMvZG93&#10;bnJldi54bWxQSwUGAAAAAAQABAD1AAAAhwMAAAAA&#10;" filled="f" strokecolor="#5b9bd5 [3204]" strokeweight="1pt">
                  <v:stroke dashstyle="longDash"/>
                </v:rect>
                <v:rect id="矩形 8" o:spid="_x0000_s1033" style="position:absolute;left:15569;top:4160;width:31139;height:4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A+i70A&#10;AADaAAAADwAAAGRycy9kb3ducmV2LnhtbERPTYvCMBC9C/sfwizsTRNFRLpG0WVl1Zu13odmtik2&#10;k9JErf/eHASPj/e9WPWuETfqQu1Zw3ikQBCX3tRcaShO2+EcRIjIBhvPpOFBAVbLj8ECM+PvfKRb&#10;HiuRQjhkqMHG2GZShtKSwzDyLXHi/n3nMCbYVdJ0eE/hrpETpWbSYc2pwWJLP5bKS351Gsrpebr9&#10;3TeHTbGzhz9aX5SKhdZfn/36G0SkPr7FL/fOaEhb05V0A+TyC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6A+i70AAADaAAAADwAAAAAAAAAAAAAAAACYAgAAZHJzL2Rvd25yZXYu&#10;eG1sUEsFBgAAAAAEAAQA9QAAAIIDAAAAAA==&#10;" filled="f" strokecolor="#5b9bd5 [3204]" strokeweight="1pt">
                  <v:stroke dashstyle="longDash"/>
                </v:rect>
                <v:rect id="矩形 9" o:spid="_x0000_s1034" style="position:absolute;left:62278;top:10849;width:15569;height:46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74MEA&#10;AADaAAAADwAAAGRycy9kb3ducmV2LnhtbESPzWrDMBCE74W+g9hCbo2cQELiRgmhUOixTfNzXayN&#10;bWqtjFax3LevCoEeh5n5htnsRtepgYK0ng3MpgUo4srblmsDx6+35xUoicgWO89k4IcEdtvHhw2W&#10;1if+pOEQa5UhLCUaaGLsS62lasihTH1PnL2rDw5jlqHWNmDKcNfpeVEstcOW80KDPb02VH0fbs5A&#10;TGkxSHWx1+MqpI/zWU54EWMmT+P+BVSkMf6H7+13a2ANf1fyDd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E++DBAAAA2gAAAA8AAAAAAAAAAAAAAAAAmAIAAGRycy9kb3du&#10;cmV2LnhtbFBLBQYAAAAABAAEAPUAAACGAwAAAAA=&#10;" filled="f" strokecolor="#5b9bd5 [3204]" strokeweight="1pt"/>
                <v:rect id="矩形 10" o:spid="_x0000_s1035" style="position:absolute;left:77847;top:10849;width:15570;height:46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tLO8IA&#10;AADbAAAADwAAAGRycy9kb3ducmV2LnhtbESPQW/CMAyF75P2HyJP2m0kIDShjoBgGhrjBuvuVuM1&#10;FY1TNQHKv8cHJG623vN7n+fLIbTqTH1qIlsYjwwo4iq6hmsL5e/mbQYqZWSHbWSycKUEy8Xz0xwL&#10;Fy+8p/Mh10pCOBVowefcFVqnylPANIodsWj/sQ+YZe1r7Xq8SHho9cSYdx2wYWnw2NGnp+p4OAUL&#10;1fRvuvn6aXfrcut337Q6GpNLa19fhtUHqExDfpjv11sn+EIvv8gAe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20s7wgAAANsAAAAPAAAAAAAAAAAAAAAAAJgCAABkcnMvZG93&#10;bnJldi54bWxQSwUGAAAAAAQABAD1AAAAhwMAAAAA&#10;" filled="f" strokecolor="#5b9bd5 [3204]" strokeweight="1pt">
                  <v:stroke dashstyle="longDash"/>
                </v:rect>
                <v:shapetype id="_x0000_t202" coordsize="21600,21600" o:spt="202" path="m,l,21600r21600,l21600,xe">
                  <v:stroke joinstyle="miter"/>
                  <v:path gradientshapeok="t" o:connecttype="rect"/>
                </v:shapetype>
                <v:shape id="文本框 12" o:spid="_x0000_s1036" type="#_x0000_t202" style="position:absolute;left:55563;top:6;width:13430;height:8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14:paraId="2413C3A0" w14:textId="77777777" w:rsidR="00473B4B" w:rsidRDefault="00473B4B" w:rsidP="00473B4B">
                        <w:pPr>
                          <w:pStyle w:val="af"/>
                          <w:spacing w:before="0" w:beforeAutospacing="0" w:after="0" w:afterAutospacing="0"/>
                        </w:pPr>
                        <w:r>
                          <w:rPr>
                            <w:rFonts w:asciiTheme="minorHAnsi" w:eastAsiaTheme="minorEastAsia" w:hAnsi="Calibri" w:cstheme="minorBidi"/>
                            <w:color w:val="000000" w:themeColor="text1"/>
                            <w:kern w:val="24"/>
                            <w:sz w:val="36"/>
                            <w:szCs w:val="36"/>
                          </w:rPr>
                          <w:t xml:space="preserve">Subframe </w:t>
                        </w:r>
                        <m:oMath>
                          <m:sSub>
                            <m:sSubPr>
                              <m:ctrlPr>
                                <w:rPr>
                                  <w:rFonts w:ascii="Cambria Math" w:eastAsiaTheme="minorEastAsia" w:hAnsi="Cambria Math" w:cstheme="minorBidi"/>
                                  <w:i/>
                                  <w:iCs/>
                                  <w:color w:val="000000" w:themeColor="text1"/>
                                  <w:kern w:val="24"/>
                                  <w:sz w:val="36"/>
                                  <w:szCs w:val="36"/>
                                </w:rPr>
                              </m:ctrlPr>
                            </m:sSubPr>
                            <m:e>
                              <m:r>
                                <w:rPr>
                                  <w:rFonts w:ascii="Cambria Math" w:eastAsiaTheme="minorEastAsia" w:hAnsi="Cambria Math" w:cstheme="minorBidi"/>
                                  <w:color w:val="000000" w:themeColor="text1"/>
                                  <w:kern w:val="24"/>
                                  <w:sz w:val="36"/>
                                  <w:szCs w:val="36"/>
                                </w:rPr>
                                <m:t>i</m:t>
                              </m:r>
                            </m:e>
                            <m:sub>
                              <m:r>
                                <w:rPr>
                                  <w:rFonts w:ascii="Cambria Math" w:eastAsiaTheme="minorEastAsia" w:hAnsi="Cambria Math" w:cstheme="minorBidi"/>
                                  <w:color w:val="000000" w:themeColor="text1"/>
                                  <w:kern w:val="24"/>
                                  <w:sz w:val="36"/>
                                  <w:szCs w:val="36"/>
                                </w:rPr>
                                <m:t>1</m:t>
                              </m:r>
                            </m:sub>
                          </m:sSub>
                        </m:oMath>
                      </w:p>
                    </w:txbxContent>
                  </v:textbox>
                </v:shape>
                <v:shape id="文本框 13" o:spid="_x0000_s1037" type="#_x0000_t202" style="position:absolute;left:39994;top:16392;width:13430;height:88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2544A1F9" w14:textId="77777777" w:rsidR="00473B4B" w:rsidRDefault="00473B4B" w:rsidP="00473B4B">
                        <w:pPr>
                          <w:pStyle w:val="af"/>
                          <w:spacing w:before="0" w:beforeAutospacing="0" w:after="0" w:afterAutospacing="0"/>
                        </w:pPr>
                        <w:r>
                          <w:rPr>
                            <w:rFonts w:asciiTheme="minorHAnsi" w:eastAsiaTheme="minorEastAsia" w:hAnsi="Calibri" w:cstheme="minorBidi"/>
                            <w:color w:val="000000" w:themeColor="text1"/>
                            <w:kern w:val="24"/>
                            <w:sz w:val="36"/>
                            <w:szCs w:val="36"/>
                          </w:rPr>
                          <w:t xml:space="preserve">Subframe </w:t>
                        </w:r>
                        <m:oMath>
                          <m:sSub>
                            <m:sSubPr>
                              <m:ctrlPr>
                                <w:rPr>
                                  <w:rFonts w:ascii="Cambria Math" w:eastAsiaTheme="minorEastAsia" w:hAnsi="Cambria Math" w:cstheme="minorBidi"/>
                                  <w:i/>
                                  <w:iCs/>
                                  <w:color w:val="000000" w:themeColor="text1"/>
                                  <w:kern w:val="24"/>
                                  <w:sz w:val="36"/>
                                  <w:szCs w:val="36"/>
                                </w:rPr>
                              </m:ctrlPr>
                            </m:sSubPr>
                            <m:e>
                              <m:r>
                                <w:rPr>
                                  <w:rFonts w:ascii="Cambria Math" w:eastAsiaTheme="minorEastAsia" w:hAnsi="Cambria Math" w:cstheme="minorBidi"/>
                                  <w:color w:val="000000" w:themeColor="text1"/>
                                  <w:kern w:val="24"/>
                                  <w:sz w:val="36"/>
                                  <w:szCs w:val="36"/>
                                </w:rPr>
                                <m:t>i</m:t>
                              </m:r>
                            </m:e>
                            <m:sub>
                              <m:r>
                                <w:rPr>
                                  <w:rFonts w:ascii="Cambria Math" w:eastAsiaTheme="minorEastAsia" w:hAnsi="Cambria Math" w:cstheme="minorBidi"/>
                                  <w:color w:val="000000" w:themeColor="text1"/>
                                  <w:kern w:val="24"/>
                                  <w:sz w:val="36"/>
                                  <w:szCs w:val="36"/>
                                </w:rPr>
                                <m:t>2</m:t>
                              </m:r>
                            </m:sub>
                          </m:sSub>
                        </m:oMath>
                      </w:p>
                    </w:txbxContent>
                  </v:textbox>
                </v:shape>
                <v:shape id="文本框 14" o:spid="_x0000_s1038" type="#_x0000_t202" style="position:absolute;left:68990;top:16380;width:17501;height:8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14:paraId="5506A6EC" w14:textId="77777777" w:rsidR="00473B4B" w:rsidRDefault="00473B4B" w:rsidP="00473B4B">
                        <w:pPr>
                          <w:pStyle w:val="af"/>
                          <w:spacing w:before="0" w:beforeAutospacing="0" w:after="0" w:afterAutospacing="0"/>
                        </w:pPr>
                        <w:r>
                          <w:rPr>
                            <w:rFonts w:asciiTheme="minorHAnsi" w:eastAsiaTheme="minorEastAsia" w:hAnsi="Calibri" w:cstheme="minorBidi"/>
                            <w:color w:val="000000" w:themeColor="text1"/>
                            <w:kern w:val="24"/>
                            <w:sz w:val="36"/>
                            <w:szCs w:val="36"/>
                          </w:rPr>
                          <w:t xml:space="preserve">Subframe </w:t>
                        </w:r>
                        <m:oMath>
                          <m:sSub>
                            <m:sSubPr>
                              <m:ctrlPr>
                                <w:rPr>
                                  <w:rFonts w:ascii="Cambria Math" w:eastAsiaTheme="minorEastAsia" w:hAnsi="Cambria Math" w:cstheme="minorBidi"/>
                                  <w:i/>
                                  <w:iCs/>
                                  <w:color w:val="000000" w:themeColor="text1"/>
                                  <w:kern w:val="24"/>
                                  <w:sz w:val="36"/>
                                  <w:szCs w:val="36"/>
                                </w:rPr>
                              </m:ctrlPr>
                            </m:sSubPr>
                            <m:e>
                              <m:r>
                                <w:rPr>
                                  <w:rFonts w:ascii="Cambria Math" w:eastAsiaTheme="minorEastAsia" w:hAnsi="Cambria Math" w:cstheme="minorBidi"/>
                                  <w:color w:val="000000" w:themeColor="text1"/>
                                  <w:kern w:val="24"/>
                                  <w:sz w:val="36"/>
                                  <w:szCs w:val="36"/>
                                </w:rPr>
                                <m:t>i</m:t>
                              </m:r>
                            </m:e>
                            <m:sub>
                              <m:r>
                                <w:rPr>
                                  <w:rFonts w:ascii="Cambria Math" w:eastAsiaTheme="minorEastAsia" w:hAnsi="Cambria Math" w:cstheme="minorBidi"/>
                                  <w:color w:val="000000" w:themeColor="text1"/>
                                  <w:kern w:val="24"/>
                                  <w:sz w:val="36"/>
                                  <w:szCs w:val="36"/>
                                </w:rPr>
                                <m:t>2</m:t>
                              </m:r>
                            </m:sub>
                          </m:sSub>
                          <m:r>
                            <w:rPr>
                              <w:rFonts w:ascii="Cambria Math" w:eastAsiaTheme="minorEastAsia" w:hAnsi="Cambria Math" w:cstheme="minorBidi"/>
                              <w:color w:val="000000" w:themeColor="text1"/>
                              <w:kern w:val="24"/>
                              <w:sz w:val="36"/>
                              <w:szCs w:val="36"/>
                            </w:rPr>
                            <m:t>+1</m:t>
                          </m:r>
                        </m:oMath>
                      </w:p>
                    </w:txbxContent>
                  </v:textbox>
                </v:shape>
                <v:shape id="文本框 15" o:spid="_x0000_s1039" type="#_x0000_t202" style="position:absolute;left:85486;top:6;width:17152;height:8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14:paraId="7B3E80ED" w14:textId="77777777" w:rsidR="00473B4B" w:rsidRDefault="00473B4B" w:rsidP="00473B4B">
                        <w:pPr>
                          <w:pStyle w:val="af"/>
                          <w:spacing w:before="0" w:beforeAutospacing="0" w:after="0" w:afterAutospacing="0"/>
                        </w:pPr>
                        <w:r>
                          <w:rPr>
                            <w:rFonts w:asciiTheme="minorHAnsi" w:eastAsiaTheme="minorEastAsia" w:hAnsi="Calibri" w:cstheme="minorBidi"/>
                            <w:color w:val="000000" w:themeColor="text1"/>
                            <w:kern w:val="24"/>
                            <w:sz w:val="36"/>
                            <w:szCs w:val="36"/>
                          </w:rPr>
                          <w:t xml:space="preserve">Subframe </w:t>
                        </w:r>
                        <m:oMath>
                          <m:sSub>
                            <m:sSubPr>
                              <m:ctrlPr>
                                <w:rPr>
                                  <w:rFonts w:ascii="Cambria Math" w:eastAsiaTheme="minorEastAsia" w:hAnsi="Cambria Math" w:cstheme="minorBidi"/>
                                  <w:i/>
                                  <w:iCs/>
                                  <w:color w:val="000000" w:themeColor="text1"/>
                                  <w:kern w:val="24"/>
                                  <w:sz w:val="36"/>
                                  <w:szCs w:val="36"/>
                                </w:rPr>
                              </m:ctrlPr>
                            </m:sSubPr>
                            <m:e>
                              <m:r>
                                <w:rPr>
                                  <w:rFonts w:ascii="Cambria Math" w:eastAsiaTheme="minorEastAsia" w:hAnsi="Cambria Math" w:cstheme="minorBidi"/>
                                  <w:color w:val="000000" w:themeColor="text1"/>
                                  <w:kern w:val="24"/>
                                  <w:sz w:val="36"/>
                                  <w:szCs w:val="36"/>
                                </w:rPr>
                                <m:t>i</m:t>
                              </m:r>
                            </m:e>
                            <m:sub>
                              <m:r>
                                <w:rPr>
                                  <w:rFonts w:ascii="Cambria Math" w:eastAsiaTheme="minorEastAsia" w:hAnsi="Cambria Math" w:cstheme="minorBidi"/>
                                  <w:color w:val="000000" w:themeColor="text1"/>
                                  <w:kern w:val="24"/>
                                  <w:sz w:val="36"/>
                                  <w:szCs w:val="36"/>
                                </w:rPr>
                                <m:t>1</m:t>
                              </m:r>
                            </m:sub>
                          </m:sSub>
                          <m:r>
                            <w:rPr>
                              <w:rFonts w:ascii="Cambria Math" w:eastAsiaTheme="minorEastAsia" w:hAnsi="Cambria Math" w:cstheme="minorBidi"/>
                              <w:color w:val="000000" w:themeColor="text1"/>
                              <w:kern w:val="24"/>
                              <w:sz w:val="36"/>
                              <w:szCs w:val="36"/>
                            </w:rPr>
                            <m:t>+1</m:t>
                          </m:r>
                        </m:oMath>
                      </w:p>
                    </w:txbxContent>
                  </v:textbox>
                </v:shape>
                <v:shape id="文本框 16" o:spid="_x0000_s1040" type="#_x0000_t202" style="position:absolute;left:24136;width:17215;height:88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EoL4A&#10;AADbAAAADwAAAGRycy9kb3ducmV2LnhtbERPTWvCQBC9F/wPywje6saCRVJXEW3Bg5dqeh+yYzaY&#10;nQ3ZqYn/3hUEb/N4n7NcD75RV+piHdjAbJqBIi6DrbkyUJx+3hegoiBbbAKTgRtFWK9Gb0vMbej5&#10;l65HqVQK4ZijASfS5lrH0pHHOA0tceLOofMoCXaVth32Kdw3+iPLPrXHmlODw5a2jsrL8d8bELGb&#10;2a349nH/Nxx2vcvKORbGTMbD5guU0CAv8dO9t2n+HB6/pAP06g4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0xKC+AAAA2wAAAA8AAAAAAAAAAAAAAAAAmAIAAGRycy9kb3ducmV2&#10;LnhtbFBLBQYAAAAABAAEAPUAAACDAwAAAAA=&#10;" filled="f" stroked="f">
                  <v:textbox style="mso-fit-shape-to-text:t">
                    <w:txbxContent>
                      <w:p w14:paraId="27E4F218" w14:textId="77777777" w:rsidR="00473B4B" w:rsidRDefault="00473B4B" w:rsidP="00473B4B">
                        <w:pPr>
                          <w:pStyle w:val="af"/>
                          <w:spacing w:before="0" w:beforeAutospacing="0" w:after="0" w:afterAutospacing="0"/>
                        </w:pPr>
                        <w:r>
                          <w:rPr>
                            <w:rFonts w:asciiTheme="minorHAnsi" w:eastAsiaTheme="minorEastAsia" w:hAnsi="Calibri" w:cstheme="minorBidi"/>
                            <w:color w:val="000000" w:themeColor="text1"/>
                            <w:kern w:val="24"/>
                            <w:sz w:val="36"/>
                            <w:szCs w:val="36"/>
                          </w:rPr>
                          <w:t xml:space="preserve">Subframe </w:t>
                        </w:r>
                        <m:oMath>
                          <m:sSub>
                            <m:sSubPr>
                              <m:ctrlPr>
                                <w:rPr>
                                  <w:rFonts w:ascii="Cambria Math" w:eastAsiaTheme="minorEastAsia" w:hAnsi="Cambria Math" w:cstheme="minorBidi"/>
                                  <w:i/>
                                  <w:iCs/>
                                  <w:color w:val="000000" w:themeColor="text1"/>
                                  <w:kern w:val="24"/>
                                  <w:sz w:val="36"/>
                                  <w:szCs w:val="36"/>
                                </w:rPr>
                              </m:ctrlPr>
                            </m:sSubPr>
                            <m:e>
                              <m:r>
                                <w:rPr>
                                  <w:rFonts w:ascii="Cambria Math" w:eastAsiaTheme="minorEastAsia" w:hAnsi="Cambria Math" w:cstheme="minorBidi"/>
                                  <w:color w:val="000000" w:themeColor="text1"/>
                                  <w:kern w:val="24"/>
                                  <w:sz w:val="36"/>
                                  <w:szCs w:val="36"/>
                                </w:rPr>
                                <m:t>i</m:t>
                              </m:r>
                            </m:e>
                            <m:sub>
                              <m:r>
                                <w:rPr>
                                  <w:rFonts w:ascii="Cambria Math" w:eastAsiaTheme="minorEastAsia" w:hAnsi="Cambria Math" w:cstheme="minorBidi"/>
                                  <w:color w:val="000000" w:themeColor="text1"/>
                                  <w:kern w:val="24"/>
                                  <w:sz w:val="36"/>
                                  <w:szCs w:val="36"/>
                                </w:rPr>
                                <m:t>1</m:t>
                              </m:r>
                            </m:sub>
                          </m:sSub>
                          <m:r>
                            <w:rPr>
                              <w:rFonts w:ascii="Cambria Math" w:eastAsiaTheme="minorEastAsia" w:hAnsi="Cambria Math" w:cstheme="minorBidi"/>
                              <w:color w:val="000000" w:themeColor="text1"/>
                              <w:kern w:val="24"/>
                              <w:sz w:val="36"/>
                              <w:szCs w:val="36"/>
                            </w:rPr>
                            <m:t>-1</m:t>
                          </m:r>
                        </m:oMath>
                      </w:p>
                    </w:txbxContent>
                  </v:textbox>
                </v:shape>
                <v:shape id="文本框 17" o:spid="_x0000_s1041" type="#_x0000_t202" style="position:absolute;left:7084;top:16380;width:17335;height:8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14:paraId="15284F13" w14:textId="77777777" w:rsidR="00473B4B" w:rsidRDefault="00473B4B" w:rsidP="00473B4B">
                        <w:pPr>
                          <w:pStyle w:val="af"/>
                          <w:spacing w:before="0" w:beforeAutospacing="0" w:after="0" w:afterAutospacing="0"/>
                        </w:pPr>
                        <w:r>
                          <w:rPr>
                            <w:rFonts w:asciiTheme="minorHAnsi" w:eastAsiaTheme="minorEastAsia" w:hAnsi="Calibri" w:cstheme="minorBidi"/>
                            <w:color w:val="000000" w:themeColor="text1"/>
                            <w:kern w:val="24"/>
                            <w:sz w:val="36"/>
                            <w:szCs w:val="36"/>
                          </w:rPr>
                          <w:t xml:space="preserve">Subframe </w:t>
                        </w:r>
                        <m:oMath>
                          <m:sSub>
                            <m:sSubPr>
                              <m:ctrlPr>
                                <w:rPr>
                                  <w:rFonts w:ascii="Cambria Math" w:eastAsiaTheme="minorEastAsia" w:hAnsi="Cambria Math" w:cstheme="minorBidi"/>
                                  <w:i/>
                                  <w:iCs/>
                                  <w:color w:val="000000" w:themeColor="text1"/>
                                  <w:kern w:val="24"/>
                                  <w:sz w:val="36"/>
                                  <w:szCs w:val="36"/>
                                </w:rPr>
                              </m:ctrlPr>
                            </m:sSubPr>
                            <m:e>
                              <m:r>
                                <w:rPr>
                                  <w:rFonts w:ascii="Cambria Math" w:eastAsiaTheme="minorEastAsia" w:hAnsi="Cambria Math" w:cstheme="minorBidi"/>
                                  <w:color w:val="000000" w:themeColor="text1"/>
                                  <w:kern w:val="24"/>
                                  <w:sz w:val="36"/>
                                  <w:szCs w:val="36"/>
                                </w:rPr>
                                <m:t>i</m:t>
                              </m:r>
                            </m:e>
                            <m:sub>
                              <m:r>
                                <w:rPr>
                                  <w:rFonts w:ascii="Cambria Math" w:eastAsiaTheme="minorEastAsia" w:hAnsi="Cambria Math" w:cstheme="minorBidi"/>
                                  <w:color w:val="000000" w:themeColor="text1"/>
                                  <w:kern w:val="24"/>
                                  <w:sz w:val="36"/>
                                  <w:szCs w:val="36"/>
                                </w:rPr>
                                <m:t>2</m:t>
                              </m:r>
                            </m:sub>
                          </m:sSub>
                          <m:r>
                            <w:rPr>
                              <w:rFonts w:ascii="Cambria Math" w:eastAsiaTheme="minorEastAsia" w:hAnsi="Cambria Math" w:cstheme="minorBidi"/>
                              <w:color w:val="000000" w:themeColor="text1"/>
                              <w:kern w:val="24"/>
                              <w:sz w:val="36"/>
                              <w:szCs w:val="36"/>
                            </w:rPr>
                            <m:t>-1</m:t>
                          </m:r>
                        </m:oMath>
                      </w:p>
                    </w:txbxContent>
                  </v:textbox>
                </v:shape>
                <v:shape id="文本框 18" o:spid="_x0000_s1042" type="#_x0000_t202" style="position:absolute;left:35257;top:11308;width:7334;height:4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466E42E6" w14:textId="77777777" w:rsidR="00473B4B" w:rsidRDefault="00473B4B" w:rsidP="00473B4B">
                        <w:pPr>
                          <w:pStyle w:val="af"/>
                          <w:spacing w:before="0" w:beforeAutospacing="0" w:after="0" w:afterAutospacing="0"/>
                        </w:pPr>
                        <w:r>
                          <w:rPr>
                            <w:rFonts w:asciiTheme="minorHAnsi" w:eastAsiaTheme="minorEastAsia" w:hAnsi="Calibri" w:cstheme="minorBidi"/>
                            <w:color w:val="000000" w:themeColor="text1"/>
                            <w:kern w:val="24"/>
                            <w:sz w:val="36"/>
                            <w:szCs w:val="36"/>
                          </w:rPr>
                          <w:t>slot 1</w:t>
                        </w:r>
                      </w:p>
                    </w:txbxContent>
                  </v:textbox>
                </v:shape>
                <v:shape id="文本框 19" o:spid="_x0000_s1043" type="#_x0000_t202" style="position:absolute;left:50744;top:11308;width:7334;height:4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0F0957D6" w14:textId="77777777" w:rsidR="00473B4B" w:rsidRDefault="00473B4B" w:rsidP="00473B4B">
                        <w:pPr>
                          <w:pStyle w:val="af"/>
                          <w:spacing w:before="0" w:beforeAutospacing="0" w:after="0" w:afterAutospacing="0"/>
                        </w:pPr>
                        <w:r>
                          <w:rPr>
                            <w:rFonts w:asciiTheme="minorHAnsi" w:eastAsiaTheme="minorEastAsia" w:hAnsi="Calibri" w:cstheme="minorBidi"/>
                            <w:color w:val="000000" w:themeColor="text1"/>
                            <w:kern w:val="24"/>
                            <w:sz w:val="36"/>
                            <w:szCs w:val="36"/>
                          </w:rPr>
                          <w:t>slot 2</w:t>
                        </w:r>
                      </w:p>
                    </w:txbxContent>
                  </v:textbox>
                </v:shape>
                <v:shape id="文本框 20" o:spid="_x0000_s1044" type="#_x0000_t202" style="position:absolute;left:66313;top:11013;width:7334;height:4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Opb8A&#10;AADbAAAADwAAAGRycy9kb3ducmV2LnhtbERPS2vCQBC+F/wPywje6saCpY2uIj7AQy+18T5kx2ww&#10;OxuyUxP/vSsUepuP7znL9eAbdaMu1oENzKYZKOIy2JorA8XP4fUDVBRki01gMnCnCOvV6GWJuQ09&#10;f9PtJJVKIRxzNOBE2lzrWDryGKehJU7cJXQeJcGu0rbDPoX7Rr9l2bv2WHNqcNjS1lF5Pf16AyJ2&#10;M7sXex+P5+Fr17usnGNhzGQ8bBaghAb5F/+5jzbN/4T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c6lvwAAANsAAAAPAAAAAAAAAAAAAAAAAJgCAABkcnMvZG93bnJl&#10;di54bWxQSwUGAAAAAAQABAD1AAAAhAMAAAAA&#10;" filled="f" stroked="f">
                  <v:textbox style="mso-fit-shape-to-text:t">
                    <w:txbxContent>
                      <w:p w14:paraId="747B5DE4" w14:textId="77777777" w:rsidR="00473B4B" w:rsidRDefault="00473B4B" w:rsidP="00473B4B">
                        <w:pPr>
                          <w:pStyle w:val="af"/>
                          <w:spacing w:before="0" w:beforeAutospacing="0" w:after="0" w:afterAutospacing="0"/>
                        </w:pPr>
                        <w:r>
                          <w:rPr>
                            <w:rFonts w:asciiTheme="minorHAnsi" w:eastAsiaTheme="minorEastAsia" w:hAnsi="Calibri" w:cstheme="minorBidi"/>
                            <w:color w:val="000000" w:themeColor="text1"/>
                            <w:kern w:val="24"/>
                            <w:sz w:val="36"/>
                            <w:szCs w:val="36"/>
                          </w:rPr>
                          <w:t>slot 1</w:t>
                        </w:r>
                      </w:p>
                    </w:txbxContent>
                  </v:textbox>
                </v:shape>
                <v:shape id="文本框 22" o:spid="_x0000_s1045" type="#_x0000_t202" style="position:absolute;left:81821;top:11308;width:7334;height:4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14:paraId="3BCDFA06" w14:textId="77777777" w:rsidR="00473B4B" w:rsidRDefault="00473B4B" w:rsidP="00473B4B">
                        <w:pPr>
                          <w:pStyle w:val="af"/>
                          <w:spacing w:before="0" w:beforeAutospacing="0" w:after="0" w:afterAutospacing="0"/>
                        </w:pPr>
                        <w:r>
                          <w:rPr>
                            <w:rFonts w:asciiTheme="minorHAnsi" w:eastAsiaTheme="minorEastAsia" w:hAnsi="Calibri" w:cstheme="minorBidi"/>
                            <w:color w:val="000000" w:themeColor="text1"/>
                            <w:kern w:val="24"/>
                            <w:sz w:val="36"/>
                            <w:szCs w:val="36"/>
                          </w:rPr>
                          <w:t>slot 2</w:t>
                        </w:r>
                      </w:p>
                    </w:txbxContent>
                  </v:textbox>
                </v:shape>
                <v:shape id="文本框 23" o:spid="_x0000_s1046" type="#_x0000_t202" style="position:absolute;left:1874;top:4619;width:11823;height:4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w:txbxContent>
                      <w:p w14:paraId="67FD9E4E" w14:textId="77777777" w:rsidR="00473B4B" w:rsidRDefault="00473B4B" w:rsidP="00473B4B">
                        <w:pPr>
                          <w:pStyle w:val="af"/>
                          <w:spacing w:before="0" w:beforeAutospacing="0" w:after="0" w:afterAutospacing="0"/>
                        </w:pPr>
                        <w:r>
                          <w:rPr>
                            <w:rFonts w:asciiTheme="minorHAnsi" w:eastAsiaTheme="minorEastAsia" w:hAnsi="Calibri" w:cstheme="minorBidi"/>
                            <w:color w:val="000000" w:themeColor="text1"/>
                            <w:kern w:val="24"/>
                            <w:sz w:val="36"/>
                            <w:szCs w:val="36"/>
                          </w:rPr>
                          <w:t>LTE MeNB</w:t>
                        </w:r>
                      </w:p>
                    </w:txbxContent>
                  </v:textbox>
                </v:shape>
                <v:shape id="文本框 24" o:spid="_x0000_s1047" type="#_x0000_t202" style="position:absolute;left:94064;top:11013;width:11824;height:4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14:paraId="07AF0648" w14:textId="77777777" w:rsidR="00473B4B" w:rsidRDefault="00473B4B" w:rsidP="00473B4B">
                        <w:pPr>
                          <w:pStyle w:val="af"/>
                          <w:spacing w:before="0" w:beforeAutospacing="0" w:after="0" w:afterAutospacing="0"/>
                        </w:pPr>
                        <w:r>
                          <w:rPr>
                            <w:rFonts w:asciiTheme="minorHAnsi" w:eastAsiaTheme="minorEastAsia" w:hAnsi="Calibri" w:cstheme="minorBidi"/>
                            <w:color w:val="000000" w:themeColor="text1"/>
                            <w:kern w:val="24"/>
                            <w:sz w:val="36"/>
                            <w:szCs w:val="36"/>
                          </w:rPr>
                          <w:t>NR SeNB</w:t>
                        </w:r>
                      </w:p>
                    </w:txbxContent>
                  </v:textbox>
                </v:shape>
              </v:group>
            </w:pict>
          </mc:Fallback>
        </mc:AlternateContent>
      </w:r>
      <w:r w:rsidRPr="00473B4B">
        <w:rPr>
          <w:rFonts w:ascii="Arial" w:eastAsia="Arial Unicode MS" w:hAnsi="Arial" w:cs="Arial"/>
          <w:b/>
        </w:rPr>
        <w:t>LTE and NR</w:t>
      </w:r>
    </w:p>
    <w:p w14:paraId="505C9F62" w14:textId="748B7299" w:rsidR="00956E94" w:rsidRPr="003529C2" w:rsidRDefault="00956E94" w:rsidP="00956E94">
      <w:pPr>
        <w:pStyle w:val="Caption"/>
        <w:rPr>
          <w:rFonts w:ascii="Times New Roman" w:hAnsi="Times New Roman" w:cs="Times New Roman"/>
          <w:i/>
        </w:rPr>
      </w:pPr>
      <w:r>
        <w:rPr>
          <w:rFonts w:ascii="Times New Roman" w:hAnsi="Times New Roman" w:cs="Times New Roman"/>
          <w:b/>
          <w:i/>
        </w:rPr>
        <w:t>Observation</w:t>
      </w:r>
      <w:r w:rsidRPr="003529C2">
        <w:rPr>
          <w:rFonts w:ascii="Times New Roman" w:hAnsi="Times New Roman" w:cs="Times New Roman"/>
          <w:b/>
          <w:i/>
        </w:rPr>
        <w:t xml:space="preserve"> </w:t>
      </w:r>
      <w:r w:rsidR="003E6EC0">
        <w:rPr>
          <w:rFonts w:ascii="Times New Roman" w:hAnsi="Times New Roman" w:cs="Times New Roman"/>
          <w:b/>
          <w:i/>
        </w:rPr>
        <w:t>2</w:t>
      </w:r>
      <w:r w:rsidRPr="00EC1682">
        <w:rPr>
          <w:rFonts w:ascii="Times New Roman" w:hAnsi="Times New Roman" w:cs="Times New Roman"/>
          <w:b/>
          <w:i/>
        </w:rPr>
        <w:t>:</w:t>
      </w:r>
      <w:r w:rsidRPr="003529C2">
        <w:rPr>
          <w:rFonts w:ascii="Times New Roman" w:hAnsi="Times New Roman" w:cs="Times New Roman"/>
          <w:i/>
        </w:rPr>
        <w:t xml:space="preserve"> </w:t>
      </w:r>
      <w:r w:rsidR="00F10932">
        <w:rPr>
          <w:rFonts w:ascii="Times New Roman" w:hAnsi="Times New Roman" w:cs="Times New Roman"/>
          <w:i/>
        </w:rPr>
        <w:t>From the</w:t>
      </w:r>
      <w:r w:rsidR="00F10932" w:rsidRPr="00335E52">
        <w:rPr>
          <w:rFonts w:ascii="Times New Roman" w:hAnsi="Times New Roman" w:cs="Times New Roman"/>
          <w:i/>
        </w:rPr>
        <w:t xml:space="preserve"> aspect of </w:t>
      </w:r>
      <w:r w:rsidR="00F10932">
        <w:rPr>
          <w:rFonts w:ascii="Times New Roman" w:hAnsi="Times New Roman" w:cs="Times New Roman"/>
          <w:i/>
        </w:rPr>
        <w:t>power allocation, a</w:t>
      </w:r>
      <w:r w:rsidR="00F10932" w:rsidRPr="00F10932">
        <w:rPr>
          <w:rFonts w:ascii="Times New Roman" w:hAnsi="Times New Roman" w:cs="Times New Roman"/>
          <w:i/>
        </w:rPr>
        <w:t>llow</w:t>
      </w:r>
      <w:r w:rsidR="00F10932">
        <w:rPr>
          <w:rFonts w:ascii="Times New Roman" w:hAnsi="Times New Roman" w:cs="Times New Roman"/>
          <w:i/>
        </w:rPr>
        <w:t>ing</w:t>
      </w:r>
      <w:r w:rsidR="00F10932" w:rsidRPr="00F10932">
        <w:rPr>
          <w:rFonts w:ascii="Times New Roman" w:hAnsi="Times New Roman" w:cs="Times New Roman"/>
          <w:i/>
        </w:rPr>
        <w:t xml:space="preserve"> the synchronization at LTE subframe boundary and NR TTI boundary</w:t>
      </w:r>
      <w:r>
        <w:rPr>
          <w:rFonts w:ascii="Times New Roman" w:hAnsi="Times New Roman" w:cs="Times New Roman"/>
          <w:i/>
        </w:rPr>
        <w:t xml:space="preserve"> in LTE</w:t>
      </w:r>
      <w:r w:rsidR="00993613">
        <w:rPr>
          <w:rFonts w:ascii="Times New Roman" w:hAnsi="Times New Roman" w:cs="Times New Roman" w:hint="eastAsia"/>
          <w:i/>
        </w:rPr>
        <w:t>-</w:t>
      </w:r>
      <w:r>
        <w:rPr>
          <w:rFonts w:ascii="Times New Roman" w:hAnsi="Times New Roman" w:cs="Times New Roman" w:hint="eastAsia"/>
          <w:i/>
        </w:rPr>
        <w:t>NR DC</w:t>
      </w:r>
      <w:r w:rsidR="00F10932">
        <w:rPr>
          <w:rFonts w:ascii="Times New Roman" w:hAnsi="Times New Roman" w:cs="Times New Roman"/>
          <w:i/>
        </w:rPr>
        <w:t xml:space="preserve"> may not be helpful under current power allocation procedures.</w:t>
      </w:r>
    </w:p>
    <w:p w14:paraId="482D365C" w14:textId="48F508D4" w:rsidR="00956E94" w:rsidRDefault="00956E94" w:rsidP="00C81E8E">
      <w:pPr>
        <w:rPr>
          <w:rFonts w:cs="Times New Roman"/>
        </w:rPr>
      </w:pPr>
      <w:r w:rsidRPr="00956E94">
        <w:rPr>
          <w:rFonts w:hint="eastAsia"/>
        </w:rPr>
        <w:t>Base</w:t>
      </w:r>
      <w:r w:rsidRPr="00956E94">
        <w:t xml:space="preserve">d on the discussion above and the situation that </w:t>
      </w:r>
      <w:r w:rsidRPr="00956E94">
        <w:rPr>
          <w:rFonts w:cs="Times New Roman"/>
        </w:rPr>
        <w:t>power allocation for LTE</w:t>
      </w:r>
      <w:r w:rsidR="00993613">
        <w:rPr>
          <w:rFonts w:cs="Times New Roman" w:hint="eastAsia"/>
        </w:rPr>
        <w:t>-</w:t>
      </w:r>
      <w:r w:rsidRPr="00956E94">
        <w:rPr>
          <w:rFonts w:cs="Times New Roman" w:hint="eastAsia"/>
        </w:rPr>
        <w:t>NR DC</w:t>
      </w:r>
      <w:r w:rsidRPr="00956E94">
        <w:rPr>
          <w:rFonts w:cs="Times New Roman"/>
        </w:rPr>
        <w:t xml:space="preserve"> is </w:t>
      </w:r>
      <w:r w:rsidR="00F10932">
        <w:rPr>
          <w:rFonts w:cs="Times New Roman"/>
        </w:rPr>
        <w:t xml:space="preserve">under </w:t>
      </w:r>
      <w:r w:rsidRPr="00956E94">
        <w:rPr>
          <w:rFonts w:cs="Times New Roman"/>
        </w:rPr>
        <w:t>discussing in RAN1</w:t>
      </w:r>
      <w:r>
        <w:rPr>
          <w:rFonts w:cs="Times New Roman"/>
        </w:rPr>
        <w:t>, we make the following propose:</w:t>
      </w:r>
    </w:p>
    <w:p w14:paraId="3B28A29F" w14:textId="6FF187AD" w:rsidR="00956E94" w:rsidRDefault="003529C2" w:rsidP="00956E94">
      <w:pPr>
        <w:pStyle w:val="Caption"/>
        <w:rPr>
          <w:rFonts w:ascii="Times New Roman" w:hAnsi="Times New Roman" w:cs="Times New Roman"/>
          <w:i/>
        </w:rPr>
      </w:pPr>
      <w:bookmarkStart w:id="7" w:name="_Ref485119358"/>
      <w:r w:rsidRPr="003529C2">
        <w:rPr>
          <w:rFonts w:ascii="Times New Roman" w:hAnsi="Times New Roman" w:cs="Times New Roman"/>
          <w:b/>
          <w:i/>
        </w:rPr>
        <w:t xml:space="preserve">Proposal </w:t>
      </w:r>
      <w:r w:rsidRPr="003529C2">
        <w:rPr>
          <w:rFonts w:ascii="Times New Roman" w:hAnsi="Times New Roman" w:cs="Times New Roman"/>
          <w:b/>
          <w:i/>
        </w:rPr>
        <w:fldChar w:fldCharType="begin"/>
      </w:r>
      <w:r w:rsidRPr="003529C2">
        <w:rPr>
          <w:rFonts w:ascii="Times New Roman" w:hAnsi="Times New Roman" w:cs="Times New Roman"/>
          <w:b/>
          <w:i/>
        </w:rPr>
        <w:instrText xml:space="preserve"> SEQ Proposal \* ARABIC </w:instrText>
      </w:r>
      <w:r w:rsidRPr="003529C2">
        <w:rPr>
          <w:rFonts w:ascii="Times New Roman" w:hAnsi="Times New Roman" w:cs="Times New Roman"/>
          <w:b/>
          <w:i/>
        </w:rPr>
        <w:fldChar w:fldCharType="separate"/>
      </w:r>
      <w:r w:rsidR="00AC7095">
        <w:rPr>
          <w:rFonts w:ascii="Times New Roman" w:hAnsi="Times New Roman" w:cs="Times New Roman"/>
          <w:b/>
          <w:i/>
          <w:noProof/>
        </w:rPr>
        <w:t>1</w:t>
      </w:r>
      <w:r w:rsidRPr="003529C2">
        <w:rPr>
          <w:rFonts w:ascii="Times New Roman" w:hAnsi="Times New Roman" w:cs="Times New Roman"/>
          <w:b/>
          <w:i/>
        </w:rPr>
        <w:fldChar w:fldCharType="end"/>
      </w:r>
      <w:r w:rsidRPr="00EC1682">
        <w:rPr>
          <w:rFonts w:ascii="Times New Roman" w:hAnsi="Times New Roman" w:cs="Times New Roman"/>
          <w:b/>
          <w:i/>
        </w:rPr>
        <w:t>:</w:t>
      </w:r>
      <w:r w:rsidRPr="003529C2">
        <w:rPr>
          <w:rFonts w:ascii="Times New Roman" w:hAnsi="Times New Roman" w:cs="Times New Roman"/>
          <w:i/>
        </w:rPr>
        <w:t xml:space="preserve"> </w:t>
      </w:r>
      <w:r w:rsidR="00956E94">
        <w:rPr>
          <w:rFonts w:ascii="Times New Roman" w:hAnsi="Times New Roman" w:cs="Times New Roman"/>
          <w:i/>
        </w:rPr>
        <w:t>Discussion on definition of SSTD measurement should wait</w:t>
      </w:r>
      <w:bookmarkEnd w:id="7"/>
      <w:r w:rsidR="00956E94">
        <w:rPr>
          <w:rFonts w:ascii="Times New Roman" w:hAnsi="Times New Roman" w:cs="Times New Roman"/>
          <w:i/>
        </w:rPr>
        <w:t xml:space="preserve"> until the specification on </w:t>
      </w:r>
      <w:r w:rsidR="00956E94" w:rsidRPr="00956E94">
        <w:rPr>
          <w:rFonts w:ascii="Times New Roman" w:hAnsi="Times New Roman" w:cs="Times New Roman"/>
          <w:i/>
        </w:rPr>
        <w:t>power allocation for LTE</w:t>
      </w:r>
      <w:r w:rsidR="00993613">
        <w:rPr>
          <w:rFonts w:ascii="Times New Roman" w:hAnsi="Times New Roman" w:cs="Times New Roman" w:hint="eastAsia"/>
          <w:i/>
        </w:rPr>
        <w:t>-</w:t>
      </w:r>
      <w:r w:rsidR="00956E94" w:rsidRPr="00956E94">
        <w:rPr>
          <w:rFonts w:ascii="Times New Roman" w:hAnsi="Times New Roman" w:cs="Times New Roman" w:hint="eastAsia"/>
          <w:i/>
        </w:rPr>
        <w:t>NR DC</w:t>
      </w:r>
      <w:r w:rsidR="00956E94" w:rsidRPr="00956E94">
        <w:rPr>
          <w:rFonts w:ascii="Times New Roman" w:hAnsi="Times New Roman" w:cs="Times New Roman"/>
          <w:i/>
        </w:rPr>
        <w:t xml:space="preserve"> in RAN1</w:t>
      </w:r>
      <w:r w:rsidR="00F10932" w:rsidRPr="00F10932">
        <w:rPr>
          <w:rFonts w:ascii="Times New Roman" w:hAnsi="Times New Roman" w:cs="Times New Roman"/>
          <w:i/>
        </w:rPr>
        <w:t xml:space="preserve"> </w:t>
      </w:r>
      <w:r w:rsidR="00F10932" w:rsidRPr="00956E94">
        <w:rPr>
          <w:rFonts w:ascii="Times New Roman" w:hAnsi="Times New Roman" w:cs="Times New Roman"/>
          <w:i/>
        </w:rPr>
        <w:t>is finished</w:t>
      </w:r>
      <w:r w:rsidR="00F10932">
        <w:rPr>
          <w:rFonts w:ascii="Times New Roman" w:hAnsi="Times New Roman" w:cs="Times New Roman"/>
          <w:i/>
        </w:rPr>
        <w:t>.</w:t>
      </w:r>
    </w:p>
    <w:p w14:paraId="7A533A9F" w14:textId="77777777" w:rsidR="0097202C" w:rsidRPr="00C560A6" w:rsidRDefault="0097202C" w:rsidP="0097202C">
      <w:pPr>
        <w:pStyle w:val="Heading1"/>
        <w:jc w:val="both"/>
        <w:rPr>
          <w:rFonts w:ascii="Arial" w:hAnsi="Arial" w:cs="Arial"/>
          <w:lang w:val="en-US"/>
        </w:rPr>
      </w:pPr>
      <w:r>
        <w:rPr>
          <w:rFonts w:ascii="Arial" w:hAnsi="Arial" w:cs="Arial"/>
          <w:lang w:val="en-US"/>
        </w:rPr>
        <w:t>Conclusion</w:t>
      </w:r>
    </w:p>
    <w:p w14:paraId="6EFF8164" w14:textId="30D36E76" w:rsidR="003735C4" w:rsidRDefault="00826188" w:rsidP="00C81E8E">
      <w:r>
        <w:t>I</w:t>
      </w:r>
      <w:r>
        <w:rPr>
          <w:rFonts w:hint="eastAsia"/>
        </w:rPr>
        <w:t xml:space="preserve">n </w:t>
      </w:r>
      <w:r>
        <w:t xml:space="preserve">this contribution we provide our view on definition of intra/inter frequency measurement scenarios in NR. </w:t>
      </w:r>
      <w:r w:rsidR="00B36D56">
        <w:t xml:space="preserve">After discussion, the following </w:t>
      </w:r>
      <w:r w:rsidR="00956E94">
        <w:t xml:space="preserve">observations and </w:t>
      </w:r>
      <w:r w:rsidR="00B36D56">
        <w:t>conclusions are made:</w:t>
      </w:r>
    </w:p>
    <w:p w14:paraId="24B846C7" w14:textId="66E7F982" w:rsidR="003E6EC0" w:rsidRPr="003E6EC0" w:rsidRDefault="003E6EC0" w:rsidP="003E6EC0">
      <w:pPr>
        <w:pStyle w:val="Caption"/>
        <w:rPr>
          <w:rFonts w:ascii="Times New Roman" w:hAnsi="Times New Roman" w:cs="Times New Roman"/>
          <w:i/>
        </w:rPr>
      </w:pPr>
      <w:r w:rsidRPr="007A52F3">
        <w:rPr>
          <w:rFonts w:ascii="Times New Roman" w:hAnsi="Times New Roman" w:cs="Times New Roman"/>
          <w:b/>
          <w:i/>
        </w:rPr>
        <w:t xml:space="preserve">Observation 1: </w:t>
      </w:r>
      <w:r>
        <w:rPr>
          <w:rFonts w:ascii="Times New Roman" w:hAnsi="Times New Roman" w:cs="Times New Roman"/>
          <w:i/>
        </w:rPr>
        <w:t>M</w:t>
      </w:r>
      <w:r w:rsidRPr="007A52F3">
        <w:rPr>
          <w:rFonts w:ascii="Times New Roman" w:hAnsi="Times New Roman" w:cs="Times New Roman"/>
          <w:i/>
        </w:rPr>
        <w:t>odifying the definition of SSTD cannot bring more scheduling opportunities.</w:t>
      </w:r>
    </w:p>
    <w:p w14:paraId="7D7C45B0" w14:textId="1B26E009" w:rsidR="00F10932" w:rsidRPr="003529C2" w:rsidRDefault="00F10932" w:rsidP="00F10932">
      <w:pPr>
        <w:pStyle w:val="Caption"/>
        <w:rPr>
          <w:rFonts w:ascii="Times New Roman" w:hAnsi="Times New Roman" w:cs="Times New Roman"/>
          <w:i/>
        </w:rPr>
      </w:pPr>
      <w:r>
        <w:rPr>
          <w:rFonts w:ascii="Times New Roman" w:hAnsi="Times New Roman" w:cs="Times New Roman"/>
          <w:b/>
          <w:i/>
        </w:rPr>
        <w:t>Observation</w:t>
      </w:r>
      <w:r w:rsidRPr="003529C2">
        <w:rPr>
          <w:rFonts w:ascii="Times New Roman" w:hAnsi="Times New Roman" w:cs="Times New Roman"/>
          <w:b/>
          <w:i/>
        </w:rPr>
        <w:t xml:space="preserve"> </w:t>
      </w:r>
      <w:r w:rsidR="003E6EC0">
        <w:rPr>
          <w:rFonts w:ascii="Times New Roman" w:hAnsi="Times New Roman" w:cs="Times New Roman"/>
          <w:b/>
          <w:i/>
        </w:rPr>
        <w:t>2</w:t>
      </w:r>
      <w:r w:rsidRPr="00EC1682">
        <w:rPr>
          <w:rFonts w:ascii="Times New Roman" w:hAnsi="Times New Roman" w:cs="Times New Roman"/>
          <w:b/>
          <w:i/>
        </w:rPr>
        <w:t>:</w:t>
      </w:r>
      <w:r w:rsidRPr="003529C2">
        <w:rPr>
          <w:rFonts w:ascii="Times New Roman" w:hAnsi="Times New Roman" w:cs="Times New Roman"/>
          <w:i/>
        </w:rPr>
        <w:t xml:space="preserve"> </w:t>
      </w:r>
      <w:r>
        <w:rPr>
          <w:rFonts w:ascii="Times New Roman" w:hAnsi="Times New Roman" w:cs="Times New Roman"/>
          <w:i/>
        </w:rPr>
        <w:t>From the</w:t>
      </w:r>
      <w:r w:rsidRPr="00335E52">
        <w:rPr>
          <w:rFonts w:ascii="Times New Roman" w:hAnsi="Times New Roman" w:cs="Times New Roman"/>
          <w:i/>
        </w:rPr>
        <w:t xml:space="preserve"> aspect of </w:t>
      </w:r>
      <w:r>
        <w:rPr>
          <w:rFonts w:ascii="Times New Roman" w:hAnsi="Times New Roman" w:cs="Times New Roman"/>
          <w:i/>
        </w:rPr>
        <w:t>power allocation, a</w:t>
      </w:r>
      <w:r w:rsidRPr="00F10932">
        <w:rPr>
          <w:rFonts w:ascii="Times New Roman" w:hAnsi="Times New Roman" w:cs="Times New Roman"/>
          <w:i/>
        </w:rPr>
        <w:t>llow</w:t>
      </w:r>
      <w:r>
        <w:rPr>
          <w:rFonts w:ascii="Times New Roman" w:hAnsi="Times New Roman" w:cs="Times New Roman"/>
          <w:i/>
        </w:rPr>
        <w:t>ing</w:t>
      </w:r>
      <w:r w:rsidRPr="00F10932">
        <w:rPr>
          <w:rFonts w:ascii="Times New Roman" w:hAnsi="Times New Roman" w:cs="Times New Roman"/>
          <w:i/>
        </w:rPr>
        <w:t xml:space="preserve"> the synchronization at LTE subframe boundary and NR TTI boundary</w:t>
      </w:r>
      <w:r>
        <w:rPr>
          <w:rFonts w:ascii="Times New Roman" w:hAnsi="Times New Roman" w:cs="Times New Roman"/>
          <w:i/>
        </w:rPr>
        <w:t xml:space="preserve"> in LTE</w:t>
      </w:r>
      <w:r>
        <w:rPr>
          <w:rFonts w:ascii="Times New Roman" w:hAnsi="Times New Roman" w:cs="Times New Roman" w:hint="eastAsia"/>
          <w:i/>
        </w:rPr>
        <w:t>-NR DC</w:t>
      </w:r>
      <w:r>
        <w:rPr>
          <w:rFonts w:ascii="Times New Roman" w:hAnsi="Times New Roman" w:cs="Times New Roman"/>
          <w:i/>
        </w:rPr>
        <w:t xml:space="preserve"> may not be helpful under current power allocation procedures.</w:t>
      </w:r>
    </w:p>
    <w:p w14:paraId="10C1883A" w14:textId="77777777" w:rsidR="00F10932" w:rsidRPr="00956E94" w:rsidRDefault="00F10932" w:rsidP="00F10932">
      <w:pPr>
        <w:pStyle w:val="Caption"/>
        <w:rPr>
          <w:rFonts w:ascii="Times New Roman" w:hAnsi="Times New Roman" w:cs="Times New Roman"/>
          <w:i/>
        </w:rPr>
      </w:pPr>
      <w:r w:rsidRPr="003529C2">
        <w:rPr>
          <w:rFonts w:ascii="Times New Roman" w:hAnsi="Times New Roman" w:cs="Times New Roman"/>
          <w:b/>
          <w:i/>
        </w:rPr>
        <w:t xml:space="preserve">Proposal </w:t>
      </w:r>
      <w:r w:rsidRPr="003529C2">
        <w:rPr>
          <w:rFonts w:ascii="Times New Roman" w:hAnsi="Times New Roman" w:cs="Times New Roman"/>
          <w:b/>
          <w:i/>
        </w:rPr>
        <w:fldChar w:fldCharType="begin"/>
      </w:r>
      <w:r w:rsidRPr="003529C2">
        <w:rPr>
          <w:rFonts w:ascii="Times New Roman" w:hAnsi="Times New Roman" w:cs="Times New Roman"/>
          <w:b/>
          <w:i/>
        </w:rPr>
        <w:instrText xml:space="preserve"> SEQ Proposal \* ARABIC </w:instrText>
      </w:r>
      <w:r w:rsidRPr="003529C2">
        <w:rPr>
          <w:rFonts w:ascii="Times New Roman" w:hAnsi="Times New Roman" w:cs="Times New Roman"/>
          <w:b/>
          <w:i/>
        </w:rPr>
        <w:fldChar w:fldCharType="separate"/>
      </w:r>
      <w:r>
        <w:rPr>
          <w:rFonts w:ascii="Times New Roman" w:hAnsi="Times New Roman" w:cs="Times New Roman"/>
          <w:b/>
          <w:i/>
          <w:noProof/>
        </w:rPr>
        <w:t>1</w:t>
      </w:r>
      <w:r w:rsidRPr="003529C2">
        <w:rPr>
          <w:rFonts w:ascii="Times New Roman" w:hAnsi="Times New Roman" w:cs="Times New Roman"/>
          <w:b/>
          <w:i/>
        </w:rPr>
        <w:fldChar w:fldCharType="end"/>
      </w:r>
      <w:r w:rsidRPr="00EC1682">
        <w:rPr>
          <w:rFonts w:ascii="Times New Roman" w:hAnsi="Times New Roman" w:cs="Times New Roman"/>
          <w:b/>
          <w:i/>
        </w:rPr>
        <w:t>:</w:t>
      </w:r>
      <w:r w:rsidRPr="003529C2">
        <w:rPr>
          <w:rFonts w:ascii="Times New Roman" w:hAnsi="Times New Roman" w:cs="Times New Roman"/>
          <w:i/>
        </w:rPr>
        <w:t xml:space="preserve"> </w:t>
      </w:r>
      <w:r>
        <w:rPr>
          <w:rFonts w:ascii="Times New Roman" w:hAnsi="Times New Roman" w:cs="Times New Roman"/>
          <w:i/>
        </w:rPr>
        <w:t xml:space="preserve">Discussion on definition of SSTD measurement should wait until the specification on </w:t>
      </w:r>
      <w:r w:rsidRPr="00956E94">
        <w:rPr>
          <w:rFonts w:ascii="Times New Roman" w:hAnsi="Times New Roman" w:cs="Times New Roman"/>
          <w:i/>
        </w:rPr>
        <w:t>power allocation for LTE</w:t>
      </w:r>
      <w:r>
        <w:rPr>
          <w:rFonts w:ascii="Times New Roman" w:hAnsi="Times New Roman" w:cs="Times New Roman" w:hint="eastAsia"/>
          <w:i/>
        </w:rPr>
        <w:t>-</w:t>
      </w:r>
      <w:r w:rsidRPr="00956E94">
        <w:rPr>
          <w:rFonts w:ascii="Times New Roman" w:hAnsi="Times New Roman" w:cs="Times New Roman" w:hint="eastAsia"/>
          <w:i/>
        </w:rPr>
        <w:t>NR DC</w:t>
      </w:r>
      <w:r w:rsidRPr="00956E94">
        <w:rPr>
          <w:rFonts w:ascii="Times New Roman" w:hAnsi="Times New Roman" w:cs="Times New Roman"/>
          <w:i/>
        </w:rPr>
        <w:t xml:space="preserve"> in RAN1</w:t>
      </w:r>
      <w:r w:rsidRPr="00F10932">
        <w:rPr>
          <w:rFonts w:ascii="Times New Roman" w:hAnsi="Times New Roman" w:cs="Times New Roman"/>
          <w:i/>
        </w:rPr>
        <w:t xml:space="preserve"> </w:t>
      </w:r>
      <w:r w:rsidRPr="00956E94">
        <w:rPr>
          <w:rFonts w:ascii="Times New Roman" w:hAnsi="Times New Roman" w:cs="Times New Roman"/>
          <w:i/>
        </w:rPr>
        <w:t>is finished</w:t>
      </w:r>
      <w:r>
        <w:rPr>
          <w:rFonts w:ascii="Times New Roman" w:hAnsi="Times New Roman" w:cs="Times New Roman"/>
          <w:i/>
        </w:rPr>
        <w:t>.</w:t>
      </w:r>
    </w:p>
    <w:p w14:paraId="2D302014" w14:textId="77777777" w:rsidR="0097202C" w:rsidRPr="00C560A6" w:rsidRDefault="0097202C" w:rsidP="0097202C">
      <w:pPr>
        <w:pStyle w:val="Heading1"/>
        <w:jc w:val="both"/>
        <w:rPr>
          <w:rFonts w:ascii="Arial" w:hAnsi="Arial" w:cs="Arial"/>
          <w:lang w:val="en-US"/>
        </w:rPr>
      </w:pPr>
      <w:r>
        <w:rPr>
          <w:rFonts w:ascii="Arial" w:hAnsi="Arial" w:cs="Arial"/>
          <w:lang w:val="en-US"/>
        </w:rPr>
        <w:t>Reference</w:t>
      </w:r>
    </w:p>
    <w:p w14:paraId="4707AF30" w14:textId="12F19E17" w:rsidR="00993613" w:rsidRPr="00993613" w:rsidRDefault="0097202C" w:rsidP="00993613">
      <w:pPr>
        <w:pStyle w:val="Caption"/>
        <w:rPr>
          <w:rFonts w:ascii="Times New Roman" w:eastAsia="Gill Sans MT Pro Light" w:hAnsi="Times New Roman" w:cs="Times New Roman"/>
          <w:lang w:val="en-GB"/>
        </w:rPr>
      </w:pPr>
      <w:bookmarkStart w:id="8" w:name="_Ref480902077"/>
      <w:r w:rsidRPr="0073243D">
        <w:rPr>
          <w:rFonts w:ascii="Times New Roman" w:hAnsi="Times New Roman" w:cs="Times New Roman"/>
        </w:rPr>
        <w:t>[</w:t>
      </w:r>
      <w:r w:rsidRPr="0073243D">
        <w:rPr>
          <w:rFonts w:ascii="Times New Roman" w:hAnsi="Times New Roman" w:cs="Times New Roman"/>
        </w:rPr>
        <w:fldChar w:fldCharType="begin"/>
      </w:r>
      <w:r w:rsidRPr="0073243D">
        <w:rPr>
          <w:rFonts w:ascii="Times New Roman" w:hAnsi="Times New Roman" w:cs="Times New Roman"/>
        </w:rPr>
        <w:instrText xml:space="preserve"> SEQ reference \* ARABIC </w:instrText>
      </w:r>
      <w:r w:rsidRPr="0073243D">
        <w:rPr>
          <w:rFonts w:ascii="Times New Roman" w:hAnsi="Times New Roman" w:cs="Times New Roman"/>
        </w:rPr>
        <w:fldChar w:fldCharType="separate"/>
      </w:r>
      <w:r w:rsidR="008B4A77">
        <w:rPr>
          <w:rFonts w:ascii="Times New Roman" w:hAnsi="Times New Roman" w:cs="Times New Roman"/>
          <w:noProof/>
        </w:rPr>
        <w:t>1</w:t>
      </w:r>
      <w:r w:rsidRPr="0073243D">
        <w:rPr>
          <w:rFonts w:ascii="Times New Roman" w:hAnsi="Times New Roman" w:cs="Times New Roman"/>
        </w:rPr>
        <w:fldChar w:fldCharType="end"/>
      </w:r>
      <w:bookmarkEnd w:id="8"/>
      <w:r w:rsidRPr="0073243D">
        <w:rPr>
          <w:rFonts w:ascii="Times New Roman" w:hAnsi="Times New Roman" w:cs="Times New Roman"/>
        </w:rPr>
        <w:t xml:space="preserve">] </w:t>
      </w:r>
      <w:r w:rsidR="00993613">
        <w:rPr>
          <w:rFonts w:ascii="Times New Roman" w:eastAsia="Gill Sans MT Pro Light" w:hAnsi="Times New Roman" w:cs="Times New Roman"/>
          <w:lang w:val="en-GB"/>
        </w:rPr>
        <w:t xml:space="preserve">RAN4 NR </w:t>
      </w:r>
      <w:r w:rsidR="00993613" w:rsidRPr="00993613">
        <w:rPr>
          <w:rFonts w:ascii="Times New Roman" w:eastAsia="Gill Sans MT Pro Light" w:hAnsi="Times New Roman" w:cs="Times New Roman"/>
          <w:lang w:val="en-GB"/>
        </w:rPr>
        <w:t>AH#2</w:t>
      </w:r>
      <w:r w:rsidR="00993613">
        <w:rPr>
          <w:rFonts w:ascii="Times New Roman" w:eastAsia="Gill Sans MT Pro Light" w:hAnsi="Times New Roman" w:cs="Times New Roman"/>
          <w:lang w:val="en-GB"/>
        </w:rPr>
        <w:t xml:space="preserve"> Chairmen R</w:t>
      </w:r>
      <w:r w:rsidR="00993613" w:rsidRPr="00993613">
        <w:rPr>
          <w:rFonts w:ascii="Times New Roman" w:eastAsia="Gill Sans MT Pro Light" w:hAnsi="Times New Roman" w:cs="Times New Roman"/>
          <w:lang w:val="en-GB"/>
        </w:rPr>
        <w:t>eport</w:t>
      </w:r>
      <w:r w:rsidR="00993613">
        <w:rPr>
          <w:rFonts w:ascii="Times New Roman" w:eastAsia="Gill Sans MT Pro Light" w:hAnsi="Times New Roman" w:cs="Times New Roman"/>
          <w:lang w:val="en-GB"/>
        </w:rPr>
        <w:t>.</w:t>
      </w:r>
    </w:p>
    <w:p w14:paraId="2A4B7B81" w14:textId="788A200F" w:rsidR="0097202C" w:rsidRDefault="002163AB" w:rsidP="002163AB">
      <w:pPr>
        <w:pStyle w:val="Caption"/>
        <w:rPr>
          <w:rFonts w:ascii="Times New Roman" w:eastAsia="Gill Sans MT Pro Light" w:hAnsi="Times New Roman" w:cs="Times New Roman"/>
          <w:lang w:val="en-GB"/>
        </w:rPr>
      </w:pPr>
      <w:bookmarkStart w:id="9" w:name="_Ref484608811"/>
      <w:r>
        <w:rPr>
          <w:rFonts w:ascii="Times New Roman" w:eastAsia="Gill Sans MT Pro Light" w:hAnsi="Times New Roman" w:cs="Times New Roman"/>
          <w:lang w:val="en-GB"/>
        </w:rPr>
        <w:lastRenderedPageBreak/>
        <w:t>[</w:t>
      </w:r>
      <w:r>
        <w:rPr>
          <w:rFonts w:ascii="Times New Roman" w:eastAsia="Gill Sans MT Pro Light" w:hAnsi="Times New Roman" w:cs="Times New Roman"/>
          <w:lang w:val="en-GB"/>
        </w:rPr>
        <w:fldChar w:fldCharType="begin"/>
      </w:r>
      <w:r>
        <w:rPr>
          <w:rFonts w:ascii="Times New Roman" w:eastAsia="Gill Sans MT Pro Light" w:hAnsi="Times New Roman" w:cs="Times New Roman"/>
          <w:lang w:val="en-GB"/>
        </w:rPr>
        <w:instrText xml:space="preserve"> SEQ reference \* ARABIC </w:instrText>
      </w:r>
      <w:r>
        <w:rPr>
          <w:rFonts w:ascii="Times New Roman" w:eastAsia="Gill Sans MT Pro Light" w:hAnsi="Times New Roman" w:cs="Times New Roman"/>
          <w:lang w:val="en-GB"/>
        </w:rPr>
        <w:fldChar w:fldCharType="separate"/>
      </w:r>
      <w:r w:rsidR="008B4A77">
        <w:rPr>
          <w:rFonts w:ascii="Times New Roman" w:eastAsia="Gill Sans MT Pro Light" w:hAnsi="Times New Roman" w:cs="Times New Roman"/>
          <w:noProof/>
          <w:lang w:val="en-GB"/>
        </w:rPr>
        <w:t>2</w:t>
      </w:r>
      <w:r>
        <w:rPr>
          <w:rFonts w:ascii="Times New Roman" w:eastAsia="Gill Sans MT Pro Light" w:hAnsi="Times New Roman" w:cs="Times New Roman"/>
          <w:lang w:val="en-GB"/>
        </w:rPr>
        <w:fldChar w:fldCharType="end"/>
      </w:r>
      <w:bookmarkEnd w:id="9"/>
      <w:r>
        <w:rPr>
          <w:rFonts w:ascii="Times New Roman" w:eastAsia="Gill Sans MT Pro Light" w:hAnsi="Times New Roman" w:cs="Times New Roman"/>
          <w:lang w:val="en-GB"/>
        </w:rPr>
        <w:t xml:space="preserve">] </w:t>
      </w:r>
      <w:r w:rsidR="00993613" w:rsidRPr="00993613">
        <w:rPr>
          <w:rFonts w:ascii="Times New Roman" w:eastAsia="Gill Sans MT Pro Light" w:hAnsi="Times New Roman" w:cs="Times New Roman"/>
          <w:lang w:val="en-GB"/>
        </w:rPr>
        <w:t>R4-1706608</w:t>
      </w:r>
      <w:r w:rsidR="00993613">
        <w:rPr>
          <w:rFonts w:ascii="Times New Roman" w:eastAsia="Gill Sans MT Pro Light" w:hAnsi="Times New Roman" w:cs="Times New Roman"/>
          <w:lang w:val="en-GB"/>
        </w:rPr>
        <w:t xml:space="preserve">, </w:t>
      </w:r>
      <w:r w:rsidR="00993613" w:rsidRPr="00993613">
        <w:rPr>
          <w:rFonts w:ascii="Times New Roman" w:eastAsia="Gill Sans MT Pro Light" w:hAnsi="Times New Roman" w:cs="Times New Roman"/>
          <w:lang w:val="en-GB"/>
        </w:rPr>
        <w:t>Way forward for NR RRM</w:t>
      </w:r>
      <w:r w:rsidR="00993613">
        <w:rPr>
          <w:rFonts w:ascii="Times New Roman" w:eastAsia="Gill Sans MT Pro Light" w:hAnsi="Times New Roman" w:cs="Times New Roman"/>
          <w:lang w:val="en-GB"/>
        </w:rPr>
        <w:t>, Ericsson.</w:t>
      </w:r>
    </w:p>
    <w:p w14:paraId="4120F78D" w14:textId="201CF6F6" w:rsidR="00993613" w:rsidRDefault="00993613" w:rsidP="00993613">
      <w:pPr>
        <w:rPr>
          <w:rFonts w:cs="Arial"/>
          <w:lang w:eastAsia="en-US"/>
        </w:rPr>
      </w:pPr>
      <w:r>
        <w:rPr>
          <w:lang w:val="en-GB"/>
        </w:rPr>
        <w:t xml:space="preserve">[3] </w:t>
      </w:r>
      <w:r>
        <w:rPr>
          <w:rFonts w:cs="Arial"/>
          <w:lang w:eastAsia="en-US"/>
        </w:rPr>
        <w:t>TS36.214.</w:t>
      </w:r>
    </w:p>
    <w:p w14:paraId="1DC4C096" w14:textId="4D184999" w:rsidR="00993613" w:rsidRDefault="00993613" w:rsidP="00993613">
      <w:pPr>
        <w:rPr>
          <w:rFonts w:cs="Arial"/>
          <w:lang w:eastAsia="en-US"/>
        </w:rPr>
      </w:pPr>
      <w:r>
        <w:rPr>
          <w:rFonts w:cs="Arial"/>
          <w:lang w:eastAsia="en-US"/>
        </w:rPr>
        <w:t>[4] TS36.331.</w:t>
      </w:r>
    </w:p>
    <w:p w14:paraId="4391D800" w14:textId="651ED5E5" w:rsidR="00993613" w:rsidRDefault="00993613" w:rsidP="00993613">
      <w:pPr>
        <w:rPr>
          <w:rFonts w:cs="Arial"/>
          <w:lang w:eastAsia="en-US"/>
        </w:rPr>
      </w:pPr>
      <w:r>
        <w:rPr>
          <w:rFonts w:cs="Arial"/>
          <w:lang w:eastAsia="en-US"/>
        </w:rPr>
        <w:t xml:space="preserve">[5] </w:t>
      </w:r>
      <w:r w:rsidRPr="00993613">
        <w:rPr>
          <w:rFonts w:cs="Arial"/>
          <w:lang w:eastAsia="en-US"/>
        </w:rPr>
        <w:t>R4-1706806</w:t>
      </w:r>
      <w:r>
        <w:rPr>
          <w:rFonts w:cs="Arial"/>
          <w:lang w:eastAsia="en-US"/>
        </w:rPr>
        <w:t xml:space="preserve">, </w:t>
      </w:r>
      <w:r w:rsidRPr="00993613">
        <w:rPr>
          <w:rFonts w:cs="Arial"/>
          <w:lang w:eastAsia="en-US"/>
        </w:rPr>
        <w:t>SSTTD reporting for LTE-NR dual connectivity</w:t>
      </w:r>
      <w:r>
        <w:rPr>
          <w:rFonts w:cs="Arial"/>
          <w:lang w:eastAsia="en-US"/>
        </w:rPr>
        <w:t>, Ericsson.</w:t>
      </w:r>
    </w:p>
    <w:p w14:paraId="1609615B" w14:textId="235D73DD" w:rsidR="008F7CEB" w:rsidRDefault="008F7CEB" w:rsidP="00993613">
      <w:pPr>
        <w:rPr>
          <w:rFonts w:cs="Arial"/>
          <w:lang w:eastAsia="en-US"/>
        </w:rPr>
      </w:pPr>
      <w:r>
        <w:rPr>
          <w:rFonts w:cs="Arial"/>
          <w:lang w:eastAsia="en-US"/>
        </w:rPr>
        <w:t xml:space="preserve">[6] </w:t>
      </w:r>
      <w:r w:rsidRPr="008F7CEB">
        <w:rPr>
          <w:rFonts w:cs="Arial"/>
          <w:lang w:eastAsia="en-US"/>
        </w:rPr>
        <w:t>R4-1708315 SSTTD reporting in NSA NR</w:t>
      </w:r>
      <w:r>
        <w:rPr>
          <w:rFonts w:cs="Arial"/>
          <w:lang w:eastAsia="en-US"/>
        </w:rPr>
        <w:t>, Ericsson</w:t>
      </w:r>
    </w:p>
    <w:p w14:paraId="15C01C05" w14:textId="3DB9A776" w:rsidR="0072048F" w:rsidRDefault="0072048F" w:rsidP="00993613">
      <w:pPr>
        <w:rPr>
          <w:rFonts w:cs="Arial"/>
          <w:lang w:eastAsia="en-US"/>
        </w:rPr>
      </w:pPr>
      <w:r>
        <w:rPr>
          <w:rFonts w:cs="Arial"/>
          <w:lang w:eastAsia="en-US"/>
        </w:rPr>
        <w:t>[7] R4-</w:t>
      </w:r>
      <w:r w:rsidRPr="0072048F">
        <w:rPr>
          <w:rFonts w:cs="Arial"/>
          <w:lang w:eastAsia="en-US"/>
        </w:rPr>
        <w:t>1707107 Expected requirements in 38.133 for NSA operation, Ericsson</w:t>
      </w:r>
    </w:p>
    <w:p w14:paraId="6C6AEE90" w14:textId="45F76BC2" w:rsidR="00993613" w:rsidRDefault="008F7CEB" w:rsidP="00993613">
      <w:r>
        <w:rPr>
          <w:rFonts w:cs="Arial"/>
          <w:lang w:eastAsia="en-US"/>
        </w:rPr>
        <w:t>[</w:t>
      </w:r>
      <w:r w:rsidR="0072048F">
        <w:rPr>
          <w:rFonts w:cs="Arial"/>
          <w:lang w:eastAsia="en-US"/>
        </w:rPr>
        <w:t>8</w:t>
      </w:r>
      <w:r w:rsidR="00993613">
        <w:rPr>
          <w:rFonts w:cs="Arial"/>
          <w:lang w:eastAsia="en-US"/>
        </w:rPr>
        <w:t xml:space="preserve">] </w:t>
      </w:r>
      <w:r w:rsidR="00993613">
        <w:t>TS 36.213</w:t>
      </w:r>
    </w:p>
    <w:p w14:paraId="0B163113" w14:textId="20DA1162" w:rsidR="00993613" w:rsidRPr="00993613" w:rsidRDefault="00993613" w:rsidP="00993613">
      <w:pPr>
        <w:rPr>
          <w:rFonts w:cs="Arial"/>
        </w:rPr>
      </w:pPr>
      <w:r>
        <w:rPr>
          <w:rFonts w:cs="Arial" w:hint="eastAsia"/>
        </w:rPr>
        <w:t>[</w:t>
      </w:r>
      <w:r w:rsidR="0072048F">
        <w:rPr>
          <w:rFonts w:cs="Arial"/>
        </w:rPr>
        <w:t>9</w:t>
      </w:r>
      <w:r>
        <w:rPr>
          <w:rFonts w:cs="Arial" w:hint="eastAsia"/>
        </w:rPr>
        <w:t>]</w:t>
      </w:r>
      <w:r>
        <w:rPr>
          <w:rFonts w:cs="Arial"/>
        </w:rPr>
        <w:t xml:space="preserve"> TS 36.133</w:t>
      </w:r>
    </w:p>
    <w:sectPr w:rsidR="00993613" w:rsidRPr="009936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9AE3A" w14:textId="77777777" w:rsidR="00DA670B" w:rsidRDefault="00DA670B" w:rsidP="002F5416">
      <w:pPr>
        <w:spacing w:after="0"/>
      </w:pPr>
      <w:r>
        <w:separator/>
      </w:r>
    </w:p>
  </w:endnote>
  <w:endnote w:type="continuationSeparator" w:id="0">
    <w:p w14:paraId="2B049D7B" w14:textId="77777777" w:rsidR="00DA670B" w:rsidRDefault="00DA670B" w:rsidP="002F5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ill Sans MT Pro Ligh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F23BF" w14:textId="77777777" w:rsidR="00DA670B" w:rsidRDefault="00DA670B" w:rsidP="002F5416">
      <w:pPr>
        <w:spacing w:after="0"/>
      </w:pPr>
      <w:r>
        <w:separator/>
      </w:r>
    </w:p>
  </w:footnote>
  <w:footnote w:type="continuationSeparator" w:id="0">
    <w:p w14:paraId="325668F9" w14:textId="77777777" w:rsidR="00DA670B" w:rsidRDefault="00DA670B" w:rsidP="002F54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F4B1E09"/>
    <w:multiLevelType w:val="hybridMultilevel"/>
    <w:tmpl w:val="F050E4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B1F21226"/>
    <w:lvl w:ilvl="0">
      <w:start w:val="1"/>
      <w:numFmt w:val="decimal"/>
      <w:pStyle w:val="Heading1"/>
      <w:lvlText w:val="%1."/>
      <w:lvlJc w:val="left"/>
      <w:pPr>
        <w:tabs>
          <w:tab w:val="num" w:pos="432"/>
        </w:tabs>
        <w:ind w:left="432" w:hanging="432"/>
      </w:pPr>
      <w:rPr>
        <w:rFonts w:ascii="Arial" w:hAnsi="Arial" w:cs="Arial"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4E15FB5"/>
    <w:multiLevelType w:val="hybridMultilevel"/>
    <w:tmpl w:val="BE24F882"/>
    <w:lvl w:ilvl="0" w:tplc="04090001">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A4B7DFD"/>
    <w:multiLevelType w:val="hybridMultilevel"/>
    <w:tmpl w:val="43F8D246"/>
    <w:lvl w:ilvl="0" w:tplc="04090001">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FB30AC"/>
    <w:multiLevelType w:val="hybridMultilevel"/>
    <w:tmpl w:val="32E02DC2"/>
    <w:lvl w:ilvl="0" w:tplc="8DB8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DE64185"/>
    <w:multiLevelType w:val="hybridMultilevel"/>
    <w:tmpl w:val="ED16056A"/>
    <w:lvl w:ilvl="0" w:tplc="F260E3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ECF17D0"/>
    <w:multiLevelType w:val="hybridMultilevel"/>
    <w:tmpl w:val="63367200"/>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num w:numId="1">
    <w:abstractNumId w:val="2"/>
  </w:num>
  <w:num w:numId="2">
    <w:abstractNumId w:val="5"/>
  </w:num>
  <w:num w:numId="3">
    <w:abstractNumId w:val="6"/>
  </w:num>
  <w:num w:numId="4">
    <w:abstractNumId w:val="7"/>
  </w:num>
  <w:num w:numId="5">
    <w:abstractNumId w:val="3"/>
  </w:num>
  <w:num w:numId="6">
    <w:abstractNumId w:val="1"/>
  </w:num>
  <w:num w:numId="7">
    <w:abstractNumId w:val="4"/>
  </w:num>
  <w:num w:numId="8">
    <w:abstractNumId w:val="0"/>
  </w:num>
  <w:num w:numId="9">
    <w:abstractNumId w:val="8"/>
  </w:num>
  <w:num w:numId="10">
    <w:abstractNumId w:val="2"/>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1017"/>
    <w:rsid w:val="00002EF1"/>
    <w:rsid w:val="000076B8"/>
    <w:rsid w:val="00017B64"/>
    <w:rsid w:val="000352F3"/>
    <w:rsid w:val="00035F88"/>
    <w:rsid w:val="000409C7"/>
    <w:rsid w:val="00041A0F"/>
    <w:rsid w:val="00043F0E"/>
    <w:rsid w:val="0005452B"/>
    <w:rsid w:val="00063578"/>
    <w:rsid w:val="00063699"/>
    <w:rsid w:val="00084262"/>
    <w:rsid w:val="00085D33"/>
    <w:rsid w:val="00087C7D"/>
    <w:rsid w:val="00097144"/>
    <w:rsid w:val="000A7BAA"/>
    <w:rsid w:val="000B3686"/>
    <w:rsid w:val="000C56D9"/>
    <w:rsid w:val="000D26E2"/>
    <w:rsid w:val="000D45B0"/>
    <w:rsid w:val="000D6332"/>
    <w:rsid w:val="000E1B11"/>
    <w:rsid w:val="000E2F9D"/>
    <w:rsid w:val="000F2281"/>
    <w:rsid w:val="001014B4"/>
    <w:rsid w:val="001042B1"/>
    <w:rsid w:val="0011402E"/>
    <w:rsid w:val="00117F7D"/>
    <w:rsid w:val="00123FE0"/>
    <w:rsid w:val="00125A18"/>
    <w:rsid w:val="00125DE8"/>
    <w:rsid w:val="00133AB1"/>
    <w:rsid w:val="00164389"/>
    <w:rsid w:val="00170484"/>
    <w:rsid w:val="00175E9E"/>
    <w:rsid w:val="0018440A"/>
    <w:rsid w:val="001A29E1"/>
    <w:rsid w:val="001B3B8B"/>
    <w:rsid w:val="001D2CCB"/>
    <w:rsid w:val="001E1CD6"/>
    <w:rsid w:val="001E48BD"/>
    <w:rsid w:val="002011E5"/>
    <w:rsid w:val="002037FB"/>
    <w:rsid w:val="00215790"/>
    <w:rsid w:val="002163AB"/>
    <w:rsid w:val="00217595"/>
    <w:rsid w:val="00234F2D"/>
    <w:rsid w:val="00246B53"/>
    <w:rsid w:val="002530FF"/>
    <w:rsid w:val="00267644"/>
    <w:rsid w:val="00270CF9"/>
    <w:rsid w:val="0028025D"/>
    <w:rsid w:val="0028095F"/>
    <w:rsid w:val="00281725"/>
    <w:rsid w:val="002A20DA"/>
    <w:rsid w:val="002B16F5"/>
    <w:rsid w:val="002C4CC6"/>
    <w:rsid w:val="002C58C7"/>
    <w:rsid w:val="002D0602"/>
    <w:rsid w:val="002D3F03"/>
    <w:rsid w:val="002D68F7"/>
    <w:rsid w:val="002E61AA"/>
    <w:rsid w:val="002F5416"/>
    <w:rsid w:val="002F6965"/>
    <w:rsid w:val="003011B0"/>
    <w:rsid w:val="0030465C"/>
    <w:rsid w:val="0033150A"/>
    <w:rsid w:val="00335E52"/>
    <w:rsid w:val="00352868"/>
    <w:rsid w:val="003529C2"/>
    <w:rsid w:val="00361035"/>
    <w:rsid w:val="0036140F"/>
    <w:rsid w:val="003735C4"/>
    <w:rsid w:val="003750F3"/>
    <w:rsid w:val="00393654"/>
    <w:rsid w:val="003C2B12"/>
    <w:rsid w:val="003C3425"/>
    <w:rsid w:val="003C5B1E"/>
    <w:rsid w:val="003D0C9C"/>
    <w:rsid w:val="003D5A4B"/>
    <w:rsid w:val="003E30D3"/>
    <w:rsid w:val="003E6EC0"/>
    <w:rsid w:val="004157F0"/>
    <w:rsid w:val="00422E8C"/>
    <w:rsid w:val="00435DC8"/>
    <w:rsid w:val="00447F76"/>
    <w:rsid w:val="00453D3B"/>
    <w:rsid w:val="00473B4B"/>
    <w:rsid w:val="00477795"/>
    <w:rsid w:val="004800A7"/>
    <w:rsid w:val="00492BF4"/>
    <w:rsid w:val="004A47AD"/>
    <w:rsid w:val="004D27AC"/>
    <w:rsid w:val="004D4D5B"/>
    <w:rsid w:val="004F3ABB"/>
    <w:rsid w:val="00501D32"/>
    <w:rsid w:val="005063D2"/>
    <w:rsid w:val="0051368F"/>
    <w:rsid w:val="00524241"/>
    <w:rsid w:val="00530104"/>
    <w:rsid w:val="005311F2"/>
    <w:rsid w:val="005327E3"/>
    <w:rsid w:val="00537FFE"/>
    <w:rsid w:val="00563C49"/>
    <w:rsid w:val="005804A9"/>
    <w:rsid w:val="0058233B"/>
    <w:rsid w:val="00590859"/>
    <w:rsid w:val="005A4077"/>
    <w:rsid w:val="005A7180"/>
    <w:rsid w:val="005B0495"/>
    <w:rsid w:val="005C0923"/>
    <w:rsid w:val="005C6678"/>
    <w:rsid w:val="005D1F0E"/>
    <w:rsid w:val="005D574A"/>
    <w:rsid w:val="006060C2"/>
    <w:rsid w:val="00624F55"/>
    <w:rsid w:val="006277FC"/>
    <w:rsid w:val="00642E62"/>
    <w:rsid w:val="00664CC1"/>
    <w:rsid w:val="00665305"/>
    <w:rsid w:val="00667627"/>
    <w:rsid w:val="006804AE"/>
    <w:rsid w:val="0069454B"/>
    <w:rsid w:val="00695A2B"/>
    <w:rsid w:val="006A2C43"/>
    <w:rsid w:val="006B6A70"/>
    <w:rsid w:val="006C1376"/>
    <w:rsid w:val="006C7AFE"/>
    <w:rsid w:val="006D0002"/>
    <w:rsid w:val="006D39D4"/>
    <w:rsid w:val="006D726A"/>
    <w:rsid w:val="006E4A4A"/>
    <w:rsid w:val="006E5AAD"/>
    <w:rsid w:val="006F1638"/>
    <w:rsid w:val="006F7C35"/>
    <w:rsid w:val="00706968"/>
    <w:rsid w:val="00706FD6"/>
    <w:rsid w:val="00710627"/>
    <w:rsid w:val="007168C7"/>
    <w:rsid w:val="0072048F"/>
    <w:rsid w:val="007274ED"/>
    <w:rsid w:val="0073243D"/>
    <w:rsid w:val="00736C2B"/>
    <w:rsid w:val="007378E2"/>
    <w:rsid w:val="00740E6A"/>
    <w:rsid w:val="00774FBD"/>
    <w:rsid w:val="00776964"/>
    <w:rsid w:val="00797C89"/>
    <w:rsid w:val="007A52F3"/>
    <w:rsid w:val="007B73F9"/>
    <w:rsid w:val="007C7A3F"/>
    <w:rsid w:val="007E5E06"/>
    <w:rsid w:val="007E7E60"/>
    <w:rsid w:val="007F037B"/>
    <w:rsid w:val="007F6AED"/>
    <w:rsid w:val="00826188"/>
    <w:rsid w:val="00832F48"/>
    <w:rsid w:val="008416CC"/>
    <w:rsid w:val="00843D1E"/>
    <w:rsid w:val="00847749"/>
    <w:rsid w:val="00853A72"/>
    <w:rsid w:val="008613D8"/>
    <w:rsid w:val="00862D04"/>
    <w:rsid w:val="008637A6"/>
    <w:rsid w:val="0087194D"/>
    <w:rsid w:val="0087271F"/>
    <w:rsid w:val="00874297"/>
    <w:rsid w:val="0088280E"/>
    <w:rsid w:val="00887324"/>
    <w:rsid w:val="00895110"/>
    <w:rsid w:val="008A2768"/>
    <w:rsid w:val="008A4A6F"/>
    <w:rsid w:val="008B4A77"/>
    <w:rsid w:val="008C1233"/>
    <w:rsid w:val="008D5776"/>
    <w:rsid w:val="008F4127"/>
    <w:rsid w:val="008F7CEB"/>
    <w:rsid w:val="00924E6F"/>
    <w:rsid w:val="009305DD"/>
    <w:rsid w:val="0093237B"/>
    <w:rsid w:val="00943F07"/>
    <w:rsid w:val="009558F6"/>
    <w:rsid w:val="00956E94"/>
    <w:rsid w:val="009630B9"/>
    <w:rsid w:val="0097202C"/>
    <w:rsid w:val="00993613"/>
    <w:rsid w:val="009A679B"/>
    <w:rsid w:val="009B12C7"/>
    <w:rsid w:val="009B2123"/>
    <w:rsid w:val="009B75D6"/>
    <w:rsid w:val="009C168A"/>
    <w:rsid w:val="009C6267"/>
    <w:rsid w:val="009D2DF4"/>
    <w:rsid w:val="009D468F"/>
    <w:rsid w:val="009E0210"/>
    <w:rsid w:val="009E11E0"/>
    <w:rsid w:val="00A27F7D"/>
    <w:rsid w:val="00A30A58"/>
    <w:rsid w:val="00A3314E"/>
    <w:rsid w:val="00A52CA0"/>
    <w:rsid w:val="00A6291E"/>
    <w:rsid w:val="00A62EDB"/>
    <w:rsid w:val="00A74A58"/>
    <w:rsid w:val="00A77E45"/>
    <w:rsid w:val="00AA30EC"/>
    <w:rsid w:val="00AA6628"/>
    <w:rsid w:val="00AA6E6A"/>
    <w:rsid w:val="00AA7266"/>
    <w:rsid w:val="00AA7FF0"/>
    <w:rsid w:val="00AB52D2"/>
    <w:rsid w:val="00AC251D"/>
    <w:rsid w:val="00AC7095"/>
    <w:rsid w:val="00AE1931"/>
    <w:rsid w:val="00AF179D"/>
    <w:rsid w:val="00B05042"/>
    <w:rsid w:val="00B05182"/>
    <w:rsid w:val="00B05CD3"/>
    <w:rsid w:val="00B20AE6"/>
    <w:rsid w:val="00B239DC"/>
    <w:rsid w:val="00B26BE7"/>
    <w:rsid w:val="00B36D56"/>
    <w:rsid w:val="00B42E84"/>
    <w:rsid w:val="00B54DAF"/>
    <w:rsid w:val="00B63728"/>
    <w:rsid w:val="00B64DE4"/>
    <w:rsid w:val="00B70BAA"/>
    <w:rsid w:val="00B86978"/>
    <w:rsid w:val="00B947EF"/>
    <w:rsid w:val="00BB5202"/>
    <w:rsid w:val="00BC4A74"/>
    <w:rsid w:val="00BD2618"/>
    <w:rsid w:val="00BD7458"/>
    <w:rsid w:val="00BE6AF1"/>
    <w:rsid w:val="00C05BB8"/>
    <w:rsid w:val="00C10224"/>
    <w:rsid w:val="00C12438"/>
    <w:rsid w:val="00C15202"/>
    <w:rsid w:val="00C24559"/>
    <w:rsid w:val="00C34746"/>
    <w:rsid w:val="00C41E20"/>
    <w:rsid w:val="00C446D3"/>
    <w:rsid w:val="00C62131"/>
    <w:rsid w:val="00C65FAC"/>
    <w:rsid w:val="00C77A09"/>
    <w:rsid w:val="00C80101"/>
    <w:rsid w:val="00C81E8E"/>
    <w:rsid w:val="00C822A7"/>
    <w:rsid w:val="00C92C08"/>
    <w:rsid w:val="00C92EB2"/>
    <w:rsid w:val="00C958EF"/>
    <w:rsid w:val="00C978D5"/>
    <w:rsid w:val="00CA413F"/>
    <w:rsid w:val="00CA7C31"/>
    <w:rsid w:val="00CB784F"/>
    <w:rsid w:val="00CC14F1"/>
    <w:rsid w:val="00CC3034"/>
    <w:rsid w:val="00CD1386"/>
    <w:rsid w:val="00CD446F"/>
    <w:rsid w:val="00CE5B31"/>
    <w:rsid w:val="00CE7A41"/>
    <w:rsid w:val="00CF31E4"/>
    <w:rsid w:val="00D00FB8"/>
    <w:rsid w:val="00D101AC"/>
    <w:rsid w:val="00D10DA4"/>
    <w:rsid w:val="00D12BEB"/>
    <w:rsid w:val="00D17E52"/>
    <w:rsid w:val="00D20A38"/>
    <w:rsid w:val="00D230CE"/>
    <w:rsid w:val="00D35D79"/>
    <w:rsid w:val="00D44B54"/>
    <w:rsid w:val="00D50BB2"/>
    <w:rsid w:val="00D62C2B"/>
    <w:rsid w:val="00D63219"/>
    <w:rsid w:val="00D64419"/>
    <w:rsid w:val="00D67E60"/>
    <w:rsid w:val="00D747E3"/>
    <w:rsid w:val="00D76B53"/>
    <w:rsid w:val="00D87779"/>
    <w:rsid w:val="00DA670B"/>
    <w:rsid w:val="00DB11A2"/>
    <w:rsid w:val="00DB12CC"/>
    <w:rsid w:val="00DB2A5F"/>
    <w:rsid w:val="00DB3B25"/>
    <w:rsid w:val="00DB52B1"/>
    <w:rsid w:val="00DC37BE"/>
    <w:rsid w:val="00DD1A54"/>
    <w:rsid w:val="00DD1CA0"/>
    <w:rsid w:val="00DD6070"/>
    <w:rsid w:val="00DE2A5A"/>
    <w:rsid w:val="00DE79BE"/>
    <w:rsid w:val="00DF12E9"/>
    <w:rsid w:val="00DF1B32"/>
    <w:rsid w:val="00E025C7"/>
    <w:rsid w:val="00E1176E"/>
    <w:rsid w:val="00E11DFD"/>
    <w:rsid w:val="00E3348C"/>
    <w:rsid w:val="00E35980"/>
    <w:rsid w:val="00E35F34"/>
    <w:rsid w:val="00E43533"/>
    <w:rsid w:val="00E445FA"/>
    <w:rsid w:val="00E51815"/>
    <w:rsid w:val="00E611EA"/>
    <w:rsid w:val="00E65B10"/>
    <w:rsid w:val="00E95A37"/>
    <w:rsid w:val="00EA2276"/>
    <w:rsid w:val="00EB0D87"/>
    <w:rsid w:val="00EC1682"/>
    <w:rsid w:val="00EC4787"/>
    <w:rsid w:val="00ED2DE9"/>
    <w:rsid w:val="00EE3680"/>
    <w:rsid w:val="00F04685"/>
    <w:rsid w:val="00F060FA"/>
    <w:rsid w:val="00F10932"/>
    <w:rsid w:val="00F22F60"/>
    <w:rsid w:val="00F25AD9"/>
    <w:rsid w:val="00F516F2"/>
    <w:rsid w:val="00F53434"/>
    <w:rsid w:val="00F5562A"/>
    <w:rsid w:val="00F56818"/>
    <w:rsid w:val="00F71CDE"/>
    <w:rsid w:val="00F81273"/>
    <w:rsid w:val="00F8140F"/>
    <w:rsid w:val="00F84636"/>
    <w:rsid w:val="00F952AE"/>
    <w:rsid w:val="00F958A6"/>
    <w:rsid w:val="00FA3522"/>
    <w:rsid w:val="00FB3429"/>
    <w:rsid w:val="00FD3CD4"/>
    <w:rsid w:val="00FE0740"/>
    <w:rsid w:val="00FE6730"/>
    <w:rsid w:val="00FE70DC"/>
    <w:rsid w:val="00FF5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heme="maj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A6F"/>
    <w:pPr>
      <w:spacing w:after="180"/>
    </w:pPr>
  </w:style>
  <w:style w:type="paragraph" w:styleId="Heading1">
    <w:name w:val="heading 1"/>
    <w:aliases w:val="H1,Memo Heading 1,h1 + 11 pt,Before:  6 pt,After:  0 pt"/>
    <w:next w:val="Normal"/>
    <w:link w:val="Heading1Char"/>
    <w:qFormat/>
    <w:rsid w:val="00C81E8E"/>
    <w:pPr>
      <w:keepNext/>
      <w:keepLines/>
      <w:numPr>
        <w:numId w:val="1"/>
      </w:numPr>
      <w:pBdr>
        <w:top w:val="single" w:sz="12" w:space="3" w:color="auto"/>
      </w:pBdr>
      <w:spacing w:before="240" w:after="180"/>
      <w:outlineLvl w:val="0"/>
    </w:pPr>
    <w:rPr>
      <w:rFonts w:ascii="Wingdings" w:eastAsia="Cambria Math" w:hAnsi="Wingdings"/>
      <w:sz w:val="36"/>
      <w:lang w:val="en-GB" w:eastAsia="en-US"/>
    </w:rPr>
  </w:style>
  <w:style w:type="paragraph" w:styleId="Heading2">
    <w:name w:val="heading 2"/>
    <w:basedOn w:val="Heading1"/>
    <w:next w:val="Normal"/>
    <w:link w:val="Heading2Char"/>
    <w:qFormat/>
    <w:rsid w:val="00F25AD9"/>
    <w:pPr>
      <w:numPr>
        <w:ilvl w:val="1"/>
      </w:numPr>
      <w:pBdr>
        <w:top w:val="none" w:sz="0" w:space="0" w:color="auto"/>
      </w:pBdr>
      <w:spacing w:before="180"/>
      <w:outlineLvl w:val="1"/>
    </w:pPr>
    <w:rPr>
      <w:rFonts w:ascii="Arial" w:eastAsia="Arial" w:hAnsi="Arial"/>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81E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81E8E"/>
    <w:pPr>
      <w:numPr>
        <w:ilvl w:val="3"/>
      </w:numPr>
      <w:outlineLvl w:val="3"/>
    </w:pPr>
    <w:rPr>
      <w:sz w:val="24"/>
    </w:rPr>
  </w:style>
  <w:style w:type="paragraph" w:styleId="Heading5">
    <w:name w:val="heading 5"/>
    <w:aliases w:val="h5,Heading5"/>
    <w:basedOn w:val="Heading4"/>
    <w:next w:val="Normal"/>
    <w:link w:val="Heading5Char"/>
    <w:qFormat/>
    <w:rsid w:val="00C81E8E"/>
    <w:pPr>
      <w:numPr>
        <w:ilvl w:val="5"/>
      </w:numPr>
      <w:outlineLvl w:val="4"/>
    </w:pPr>
    <w:rPr>
      <w:sz w:val="22"/>
    </w:rPr>
  </w:style>
  <w:style w:type="paragraph" w:styleId="Heading7">
    <w:name w:val="heading 7"/>
    <w:basedOn w:val="Normal"/>
    <w:next w:val="Normal"/>
    <w:link w:val="Heading7Char"/>
    <w:qFormat/>
    <w:rsid w:val="00C81E8E"/>
    <w:pPr>
      <w:keepNext/>
      <w:keepLines/>
      <w:numPr>
        <w:ilvl w:val="6"/>
        <w:numId w:val="1"/>
      </w:numPr>
      <w:spacing w:before="120"/>
      <w:outlineLvl w:val="6"/>
    </w:pPr>
    <w:rPr>
      <w:rFonts w:ascii="Wingdings" w:eastAsia="Cambria Math" w:hAnsi="Wingdings"/>
      <w:lang w:val="en-GB" w:eastAsia="en-US"/>
    </w:rPr>
  </w:style>
  <w:style w:type="paragraph" w:styleId="Heading8">
    <w:name w:val="heading 8"/>
    <w:basedOn w:val="Heading1"/>
    <w:next w:val="Normal"/>
    <w:link w:val="Heading8Char"/>
    <w:qFormat/>
    <w:rsid w:val="00C81E8E"/>
    <w:pPr>
      <w:numPr>
        <w:ilvl w:val="7"/>
      </w:numPr>
      <w:outlineLvl w:val="7"/>
    </w:pPr>
  </w:style>
  <w:style w:type="paragraph" w:styleId="Heading9">
    <w:name w:val="heading 9"/>
    <w:basedOn w:val="Heading8"/>
    <w:next w:val="Normal"/>
    <w:link w:val="Heading9Char"/>
    <w:qFormat/>
    <w:rsid w:val="00C81E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A4A6F"/>
    <w:pPr>
      <w:widowControl w:val="0"/>
    </w:pPr>
    <w:rPr>
      <w:rFonts w:ascii="Wingdings" w:hAnsi="Wingdings"/>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A4A6F"/>
    <w:rPr>
      <w:rFonts w:ascii="Wingdings" w:eastAsia="宋体" w:hAnsi="Wingdings" w:cs="Wingdings"/>
      <w:b/>
      <w:noProof/>
      <w:sz w:val="18"/>
    </w:rPr>
  </w:style>
  <w:style w:type="paragraph" w:styleId="Footer">
    <w:name w:val="footer"/>
    <w:basedOn w:val="Header"/>
    <w:link w:val="FooterChar"/>
    <w:rsid w:val="008A4A6F"/>
    <w:pPr>
      <w:jc w:val="center"/>
    </w:pPr>
    <w:rPr>
      <w:i/>
    </w:rPr>
  </w:style>
  <w:style w:type="character" w:customStyle="1" w:styleId="FooterChar">
    <w:name w:val="Footer Char"/>
    <w:basedOn w:val="DefaultParagraphFont"/>
    <w:link w:val="Footer"/>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Heading1Char">
    <w:name w:val="Heading 1 Char"/>
    <w:aliases w:val="H1 Char,Memo Heading 1 Char,h1 + 11 pt Char,Before:  6 pt Char,After:  0 pt Char"/>
    <w:basedOn w:val="DefaultParagraphFont"/>
    <w:link w:val="Heading1"/>
    <w:rsid w:val="00C81E8E"/>
    <w:rPr>
      <w:rFonts w:ascii="Wingdings" w:eastAsia="Cambria Math" w:hAnsi="Wingdings" w:cs="Wingdings"/>
      <w:sz w:val="36"/>
      <w:lang w:val="en-GB" w:eastAsia="en-US"/>
    </w:rPr>
  </w:style>
  <w:style w:type="character" w:customStyle="1" w:styleId="Heading2Char">
    <w:name w:val="Heading 2 Char"/>
    <w:basedOn w:val="DefaultParagraphFont"/>
    <w:link w:val="Heading2"/>
    <w:rsid w:val="00F25AD9"/>
    <w:rPr>
      <w:rFonts w:ascii="Arial" w:eastAsia="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81E8E"/>
    <w:rPr>
      <w:rFonts w:ascii="Wingdings" w:eastAsia="Cambria Math" w:hAnsi="Wingdings" w:cs="Wingdings"/>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1E8E"/>
    <w:rPr>
      <w:rFonts w:ascii="Wingdings" w:eastAsia="Cambria Math" w:hAnsi="Wingdings" w:cs="Wingdings"/>
      <w:sz w:val="24"/>
      <w:lang w:val="en-GB" w:eastAsia="en-US"/>
    </w:rPr>
  </w:style>
  <w:style w:type="character" w:customStyle="1" w:styleId="Heading5Char">
    <w:name w:val="Heading 5 Char"/>
    <w:aliases w:val="h5 Char,Heading5 Char"/>
    <w:basedOn w:val="DefaultParagraphFont"/>
    <w:link w:val="Heading5"/>
    <w:rsid w:val="00C81E8E"/>
    <w:rPr>
      <w:rFonts w:ascii="Wingdings" w:eastAsia="Cambria Math" w:hAnsi="Wingdings" w:cs="Wingdings"/>
      <w:sz w:val="22"/>
      <w:lang w:val="en-GB" w:eastAsia="en-US"/>
    </w:rPr>
  </w:style>
  <w:style w:type="character" w:customStyle="1" w:styleId="Heading7Char">
    <w:name w:val="Heading 7 Char"/>
    <w:basedOn w:val="DefaultParagraphFont"/>
    <w:link w:val="Heading7"/>
    <w:rsid w:val="00C81E8E"/>
    <w:rPr>
      <w:rFonts w:ascii="Wingdings" w:eastAsia="Cambria Math" w:hAnsi="Wingdings" w:cs="Wingdings"/>
      <w:lang w:val="en-GB" w:eastAsia="en-US"/>
    </w:rPr>
  </w:style>
  <w:style w:type="character" w:customStyle="1" w:styleId="Heading8Char">
    <w:name w:val="Heading 8 Char"/>
    <w:basedOn w:val="DefaultParagraphFont"/>
    <w:link w:val="Heading8"/>
    <w:rsid w:val="00C81E8E"/>
    <w:rPr>
      <w:rFonts w:ascii="Wingdings" w:eastAsia="Cambria Math" w:hAnsi="Wingdings" w:cs="Wingdings"/>
      <w:sz w:val="36"/>
      <w:lang w:val="en-GB" w:eastAsia="en-US"/>
    </w:rPr>
  </w:style>
  <w:style w:type="character" w:customStyle="1" w:styleId="Heading9Char">
    <w:name w:val="Heading 9 Char"/>
    <w:basedOn w:val="DefaultParagraphFont"/>
    <w:link w:val="Heading9"/>
    <w:rsid w:val="00C81E8E"/>
    <w:rPr>
      <w:rFonts w:ascii="Wingdings" w:eastAsia="Cambria Math" w:hAnsi="Wingdings" w:cs="Wingdings"/>
      <w:sz w:val="36"/>
      <w:lang w:val="en-GB" w:eastAsia="en-US"/>
    </w:rPr>
  </w:style>
  <w:style w:type="paragraph" w:customStyle="1" w:styleId="TAC">
    <w:name w:val="TAC"/>
    <w:basedOn w:val="Normal"/>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Normal"/>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Caption">
    <w:name w:val="caption"/>
    <w:basedOn w:val="Normal"/>
    <w:next w:val="Normal"/>
    <w:uiPriority w:val="35"/>
    <w:unhideWhenUsed/>
    <w:qFormat/>
    <w:rsid w:val="0097202C"/>
    <w:rPr>
      <w:rFonts w:asciiTheme="majorHAnsi" w:hAnsiTheme="majorHAnsi"/>
    </w:rPr>
  </w:style>
  <w:style w:type="character" w:styleId="CommentReference">
    <w:name w:val="annotation reference"/>
    <w:basedOn w:val="DefaultParagraphFont"/>
    <w:uiPriority w:val="99"/>
    <w:semiHidden/>
    <w:unhideWhenUsed/>
    <w:rsid w:val="00477795"/>
    <w:rPr>
      <w:sz w:val="21"/>
      <w:szCs w:val="21"/>
    </w:rPr>
  </w:style>
  <w:style w:type="paragraph" w:styleId="CommentText">
    <w:name w:val="annotation text"/>
    <w:basedOn w:val="Normal"/>
    <w:link w:val="CommentTextChar"/>
    <w:uiPriority w:val="99"/>
    <w:semiHidden/>
    <w:unhideWhenUsed/>
    <w:rsid w:val="00477795"/>
  </w:style>
  <w:style w:type="character" w:customStyle="1" w:styleId="CommentTextChar">
    <w:name w:val="Comment Text Char"/>
    <w:basedOn w:val="DefaultParagraphFont"/>
    <w:link w:val="CommentText"/>
    <w:uiPriority w:val="99"/>
    <w:semiHidden/>
    <w:rsid w:val="00477795"/>
  </w:style>
  <w:style w:type="paragraph" w:styleId="CommentSubject">
    <w:name w:val="annotation subject"/>
    <w:basedOn w:val="CommentText"/>
    <w:next w:val="CommentText"/>
    <w:link w:val="CommentSubjectChar"/>
    <w:uiPriority w:val="99"/>
    <w:semiHidden/>
    <w:unhideWhenUsed/>
    <w:rsid w:val="00477795"/>
    <w:rPr>
      <w:b/>
      <w:bCs/>
    </w:rPr>
  </w:style>
  <w:style w:type="character" w:customStyle="1" w:styleId="CommentSubjectChar">
    <w:name w:val="Comment Subject Char"/>
    <w:basedOn w:val="CommentTextChar"/>
    <w:link w:val="CommentSubject"/>
    <w:uiPriority w:val="99"/>
    <w:semiHidden/>
    <w:rsid w:val="00477795"/>
    <w:rPr>
      <w:b/>
      <w:bCs/>
    </w:rPr>
  </w:style>
  <w:style w:type="paragraph" w:styleId="BalloonText">
    <w:name w:val="Balloon Text"/>
    <w:basedOn w:val="Normal"/>
    <w:link w:val="BalloonTextChar"/>
    <w:uiPriority w:val="99"/>
    <w:semiHidden/>
    <w:unhideWhenUsed/>
    <w:rsid w:val="00477795"/>
    <w:pPr>
      <w:spacing w:after="0"/>
    </w:pPr>
    <w:rPr>
      <w:sz w:val="18"/>
      <w:szCs w:val="18"/>
    </w:rPr>
  </w:style>
  <w:style w:type="character" w:customStyle="1" w:styleId="BalloonTextChar">
    <w:name w:val="Balloon Text Char"/>
    <w:basedOn w:val="DefaultParagraphFont"/>
    <w:link w:val="BalloonText"/>
    <w:uiPriority w:val="99"/>
    <w:semiHidden/>
    <w:rsid w:val="00477795"/>
    <w:rPr>
      <w:sz w:val="18"/>
      <w:szCs w:val="18"/>
    </w:rPr>
  </w:style>
  <w:style w:type="paragraph" w:styleId="ListParagraph">
    <w:name w:val="List Paragraph"/>
    <w:basedOn w:val="Normal"/>
    <w:link w:val="ListParagraphChar"/>
    <w:uiPriority w:val="34"/>
    <w:qFormat/>
    <w:rsid w:val="009A679B"/>
    <w:pPr>
      <w:ind w:firstLineChars="200" w:firstLine="420"/>
    </w:pPr>
  </w:style>
  <w:style w:type="table" w:styleId="TableGrid">
    <w:name w:val="Table Grid"/>
    <w:basedOn w:val="TableNormal"/>
    <w:uiPriority w:val="39"/>
    <w:rsid w:val="00216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3E30D3"/>
    <w:pPr>
      <w:keepNext w:val="0"/>
      <w:overflowPunct/>
      <w:autoSpaceDE/>
      <w:autoSpaceDN/>
      <w:adjustRightInd/>
      <w:spacing w:before="0" w:after="240"/>
      <w:textAlignment w:val="auto"/>
    </w:pPr>
    <w:rPr>
      <w:rFonts w:eastAsia="MS Mincho"/>
      <w:lang w:eastAsia="en-US"/>
    </w:rPr>
  </w:style>
  <w:style w:type="character" w:customStyle="1" w:styleId="TFChar">
    <w:name w:val="TF Char"/>
    <w:basedOn w:val="DefaultParagraphFont"/>
    <w:link w:val="TF"/>
    <w:rsid w:val="003E30D3"/>
    <w:rPr>
      <w:rFonts w:ascii="Arial" w:eastAsia="MS Mincho" w:hAnsi="Arial" w:cs="Times New Roman"/>
      <w:b/>
      <w:lang w:val="en-GB" w:eastAsia="en-US"/>
    </w:rPr>
  </w:style>
  <w:style w:type="paragraph" w:customStyle="1" w:styleId="B1">
    <w:name w:val="B1"/>
    <w:basedOn w:val="List"/>
    <w:link w:val="B1Zchn"/>
    <w:rsid w:val="00DB3B25"/>
    <w:pPr>
      <w:ind w:left="568" w:firstLineChars="0" w:hanging="284"/>
      <w:contextualSpacing w:val="0"/>
    </w:pPr>
    <w:rPr>
      <w:rFonts w:eastAsia="MS Mincho" w:cs="Times New Roman"/>
      <w:lang w:val="en-GB" w:eastAsia="en-US"/>
    </w:rPr>
  </w:style>
  <w:style w:type="character" w:customStyle="1" w:styleId="B1Zchn">
    <w:name w:val="B1 Zchn"/>
    <w:basedOn w:val="DefaultParagraphFont"/>
    <w:link w:val="B1"/>
    <w:rsid w:val="00DB3B25"/>
    <w:rPr>
      <w:rFonts w:eastAsia="MS Mincho" w:cs="Times New Roman"/>
      <w:lang w:val="en-GB" w:eastAsia="en-US"/>
    </w:rPr>
  </w:style>
  <w:style w:type="paragraph" w:styleId="List">
    <w:name w:val="List"/>
    <w:basedOn w:val="Normal"/>
    <w:uiPriority w:val="99"/>
    <w:semiHidden/>
    <w:unhideWhenUsed/>
    <w:rsid w:val="00DB3B25"/>
    <w:pPr>
      <w:ind w:left="200" w:hangingChars="200" w:hanging="200"/>
      <w:contextualSpacing/>
    </w:pPr>
  </w:style>
  <w:style w:type="character" w:customStyle="1" w:styleId="ListParagraphChar">
    <w:name w:val="List Paragraph Char"/>
    <w:link w:val="ListParagraph"/>
    <w:uiPriority w:val="34"/>
    <w:locked/>
    <w:rsid w:val="00001017"/>
  </w:style>
  <w:style w:type="paragraph" w:customStyle="1" w:styleId="TAL">
    <w:name w:val="TAL"/>
    <w:basedOn w:val="Normal"/>
    <w:link w:val="TALChar"/>
    <w:rsid w:val="00C92C08"/>
    <w:pPr>
      <w:keepNext/>
      <w:keepLines/>
      <w:spacing w:after="0"/>
    </w:pPr>
    <w:rPr>
      <w:rFonts w:ascii="Arial" w:eastAsiaTheme="minorEastAsia" w:hAnsi="Arial" w:cs="Times New Roman"/>
      <w:sz w:val="18"/>
      <w:lang w:val="en-GB" w:eastAsia="en-US"/>
    </w:rPr>
  </w:style>
  <w:style w:type="character" w:customStyle="1" w:styleId="TALChar">
    <w:name w:val="TAL Char"/>
    <w:link w:val="TAL"/>
    <w:locked/>
    <w:rsid w:val="00C92C08"/>
    <w:rPr>
      <w:rFonts w:ascii="Arial" w:eastAsiaTheme="minorEastAsia" w:hAnsi="Arial" w:cs="Times New Roman"/>
      <w:sz w:val="18"/>
      <w:lang w:val="en-GB" w:eastAsia="en-US"/>
    </w:rPr>
  </w:style>
  <w:style w:type="character" w:customStyle="1" w:styleId="textblue2">
    <w:name w:val="text_blue2"/>
    <w:basedOn w:val="DefaultParagraphFont"/>
    <w:rsid w:val="00FE6730"/>
  </w:style>
  <w:style w:type="character" w:customStyle="1" w:styleId="B1Char1">
    <w:name w:val="B1 Char1"/>
    <w:rsid w:val="00EC4787"/>
    <w:rPr>
      <w:rFonts w:eastAsia="Times New Roman"/>
    </w:rPr>
  </w:style>
  <w:style w:type="paragraph" w:customStyle="1" w:styleId="B2">
    <w:name w:val="B2"/>
    <w:basedOn w:val="List2"/>
    <w:rsid w:val="00EC4787"/>
    <w:pPr>
      <w:overflowPunct w:val="0"/>
      <w:autoSpaceDE w:val="0"/>
      <w:autoSpaceDN w:val="0"/>
      <w:adjustRightInd w:val="0"/>
      <w:ind w:leftChars="0" w:left="851" w:firstLineChars="0" w:hanging="284"/>
      <w:contextualSpacing w:val="0"/>
      <w:textAlignment w:val="baseline"/>
    </w:pPr>
    <w:rPr>
      <w:rFonts w:eastAsia="Times New Roman" w:cs="Times New Roman"/>
      <w:lang w:val="en-GB" w:eastAsia="en-GB"/>
    </w:rPr>
  </w:style>
  <w:style w:type="paragraph" w:customStyle="1" w:styleId="B3">
    <w:name w:val="B3"/>
    <w:basedOn w:val="List3"/>
    <w:link w:val="B3Char"/>
    <w:rsid w:val="00EC4787"/>
    <w:pPr>
      <w:overflowPunct w:val="0"/>
      <w:autoSpaceDE w:val="0"/>
      <w:autoSpaceDN w:val="0"/>
      <w:adjustRightInd w:val="0"/>
      <w:ind w:leftChars="0" w:left="1135" w:firstLineChars="0" w:hanging="284"/>
      <w:contextualSpacing w:val="0"/>
      <w:textAlignment w:val="baseline"/>
    </w:pPr>
    <w:rPr>
      <w:rFonts w:eastAsia="Times New Roman" w:cs="Times New Roman"/>
      <w:lang w:val="en-GB" w:eastAsia="en-GB"/>
    </w:rPr>
  </w:style>
  <w:style w:type="character" w:customStyle="1" w:styleId="B3Char">
    <w:name w:val="B3 Char"/>
    <w:link w:val="B3"/>
    <w:rsid w:val="00EC4787"/>
    <w:rPr>
      <w:rFonts w:eastAsia="Times New Roman" w:cs="Times New Roman"/>
      <w:lang w:val="en-GB" w:eastAsia="en-GB"/>
    </w:rPr>
  </w:style>
  <w:style w:type="paragraph" w:styleId="List2">
    <w:name w:val="List 2"/>
    <w:basedOn w:val="Normal"/>
    <w:uiPriority w:val="99"/>
    <w:semiHidden/>
    <w:unhideWhenUsed/>
    <w:rsid w:val="00EC4787"/>
    <w:pPr>
      <w:ind w:leftChars="200" w:left="100" w:hangingChars="200" w:hanging="200"/>
      <w:contextualSpacing/>
    </w:pPr>
  </w:style>
  <w:style w:type="paragraph" w:styleId="List3">
    <w:name w:val="List 3"/>
    <w:basedOn w:val="Normal"/>
    <w:uiPriority w:val="99"/>
    <w:semiHidden/>
    <w:unhideWhenUsed/>
    <w:rsid w:val="00EC4787"/>
    <w:pPr>
      <w:ind w:leftChars="400" w:left="100" w:hangingChars="200" w:hanging="200"/>
      <w:contextualSpacing/>
    </w:pPr>
  </w:style>
  <w:style w:type="character" w:styleId="PlaceholderText">
    <w:name w:val="Placeholder Text"/>
    <w:basedOn w:val="DefaultParagraphFont"/>
    <w:uiPriority w:val="99"/>
    <w:semiHidden/>
    <w:rsid w:val="00D64419"/>
    <w:rPr>
      <w:color w:val="808080"/>
    </w:rPr>
  </w:style>
  <w:style w:type="character" w:styleId="Hyperlink">
    <w:name w:val="Hyperlink"/>
    <w:uiPriority w:val="99"/>
    <w:unhideWhenUsed/>
    <w:rsid w:val="00993613"/>
    <w:rPr>
      <w:color w:val="0000FF"/>
      <w:u w:val="single"/>
    </w:rPr>
  </w:style>
  <w:style w:type="paragraph" w:styleId="NormalWeb">
    <w:name w:val="Normal (Web)"/>
    <w:basedOn w:val="Normal"/>
    <w:uiPriority w:val="99"/>
    <w:semiHidden/>
    <w:unhideWhenUsed/>
    <w:rsid w:val="000F2281"/>
    <w:pPr>
      <w:spacing w:before="100" w:beforeAutospacing="1" w:after="100" w:afterAutospacing="1"/>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164840">
      <w:bodyDiv w:val="1"/>
      <w:marLeft w:val="0"/>
      <w:marRight w:val="0"/>
      <w:marTop w:val="0"/>
      <w:marBottom w:val="0"/>
      <w:divBdr>
        <w:top w:val="none" w:sz="0" w:space="0" w:color="auto"/>
        <w:left w:val="none" w:sz="0" w:space="0" w:color="auto"/>
        <w:bottom w:val="none" w:sz="0" w:space="0" w:color="auto"/>
        <w:right w:val="none" w:sz="0" w:space="0" w:color="auto"/>
      </w:divBdr>
    </w:div>
    <w:div w:id="970477681">
      <w:bodyDiv w:val="1"/>
      <w:marLeft w:val="0"/>
      <w:marRight w:val="0"/>
      <w:marTop w:val="0"/>
      <w:marBottom w:val="0"/>
      <w:divBdr>
        <w:top w:val="none" w:sz="0" w:space="0" w:color="auto"/>
        <w:left w:val="none" w:sz="0" w:space="0" w:color="auto"/>
        <w:bottom w:val="none" w:sz="0" w:space="0" w:color="auto"/>
        <w:right w:val="none" w:sz="0" w:space="0" w:color="auto"/>
      </w:divBdr>
    </w:div>
    <w:div w:id="977339457">
      <w:bodyDiv w:val="1"/>
      <w:marLeft w:val="0"/>
      <w:marRight w:val="0"/>
      <w:marTop w:val="0"/>
      <w:marBottom w:val="0"/>
      <w:divBdr>
        <w:top w:val="none" w:sz="0" w:space="0" w:color="auto"/>
        <w:left w:val="none" w:sz="0" w:space="0" w:color="auto"/>
        <w:bottom w:val="none" w:sz="0" w:space="0" w:color="auto"/>
        <w:right w:val="none" w:sz="0" w:space="0" w:color="auto"/>
      </w:divBdr>
    </w:div>
    <w:div w:id="1010373772">
      <w:bodyDiv w:val="1"/>
      <w:marLeft w:val="0"/>
      <w:marRight w:val="0"/>
      <w:marTop w:val="0"/>
      <w:marBottom w:val="0"/>
      <w:divBdr>
        <w:top w:val="none" w:sz="0" w:space="0" w:color="auto"/>
        <w:left w:val="none" w:sz="0" w:space="0" w:color="auto"/>
        <w:bottom w:val="none" w:sz="0" w:space="0" w:color="auto"/>
        <w:right w:val="none" w:sz="0" w:space="0" w:color="auto"/>
      </w:divBdr>
      <w:divsChild>
        <w:div w:id="1991204227">
          <w:marLeft w:val="0"/>
          <w:marRight w:val="0"/>
          <w:marTop w:val="0"/>
          <w:marBottom w:val="0"/>
          <w:divBdr>
            <w:top w:val="none" w:sz="0" w:space="0" w:color="auto"/>
            <w:left w:val="none" w:sz="0" w:space="0" w:color="auto"/>
            <w:bottom w:val="none" w:sz="0" w:space="0" w:color="auto"/>
            <w:right w:val="none" w:sz="0" w:space="0" w:color="auto"/>
          </w:divBdr>
          <w:divsChild>
            <w:div w:id="598026609">
              <w:marLeft w:val="0"/>
              <w:marRight w:val="60"/>
              <w:marTop w:val="0"/>
              <w:marBottom w:val="0"/>
              <w:divBdr>
                <w:top w:val="none" w:sz="0" w:space="0" w:color="auto"/>
                <w:left w:val="none" w:sz="0" w:space="0" w:color="auto"/>
                <w:bottom w:val="none" w:sz="0" w:space="0" w:color="auto"/>
                <w:right w:val="none" w:sz="0" w:space="0" w:color="auto"/>
              </w:divBdr>
              <w:divsChild>
                <w:div w:id="639771684">
                  <w:marLeft w:val="0"/>
                  <w:marRight w:val="0"/>
                  <w:marTop w:val="0"/>
                  <w:marBottom w:val="120"/>
                  <w:divBdr>
                    <w:top w:val="single" w:sz="6" w:space="0" w:color="C0C0C0"/>
                    <w:left w:val="single" w:sz="6" w:space="0" w:color="D9D9D9"/>
                    <w:bottom w:val="single" w:sz="6" w:space="0" w:color="D9D9D9"/>
                    <w:right w:val="single" w:sz="6" w:space="0" w:color="D9D9D9"/>
                  </w:divBdr>
                  <w:divsChild>
                    <w:div w:id="583421947">
                      <w:marLeft w:val="0"/>
                      <w:marRight w:val="0"/>
                      <w:marTop w:val="0"/>
                      <w:marBottom w:val="0"/>
                      <w:divBdr>
                        <w:top w:val="none" w:sz="0" w:space="0" w:color="auto"/>
                        <w:left w:val="none" w:sz="0" w:space="0" w:color="auto"/>
                        <w:bottom w:val="none" w:sz="0" w:space="0" w:color="auto"/>
                        <w:right w:val="none" w:sz="0" w:space="0" w:color="auto"/>
                      </w:divBdr>
                    </w:div>
                    <w:div w:id="1580942462">
                      <w:marLeft w:val="0"/>
                      <w:marRight w:val="0"/>
                      <w:marTop w:val="0"/>
                      <w:marBottom w:val="0"/>
                      <w:divBdr>
                        <w:top w:val="none" w:sz="0" w:space="0" w:color="auto"/>
                        <w:left w:val="none" w:sz="0" w:space="0" w:color="auto"/>
                        <w:bottom w:val="none" w:sz="0" w:space="0" w:color="auto"/>
                        <w:right w:val="none" w:sz="0" w:space="0" w:color="auto"/>
                      </w:divBdr>
                    </w:div>
                  </w:divsChild>
                </w:div>
                <w:div w:id="40148962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677423015">
          <w:marLeft w:val="0"/>
          <w:marRight w:val="0"/>
          <w:marTop w:val="0"/>
          <w:marBottom w:val="0"/>
          <w:divBdr>
            <w:top w:val="none" w:sz="0" w:space="0" w:color="auto"/>
            <w:left w:val="none" w:sz="0" w:space="0" w:color="auto"/>
            <w:bottom w:val="none" w:sz="0" w:space="0" w:color="auto"/>
            <w:right w:val="none" w:sz="0" w:space="0" w:color="auto"/>
          </w:divBdr>
          <w:divsChild>
            <w:div w:id="1178619789">
              <w:marLeft w:val="60"/>
              <w:marRight w:val="0"/>
              <w:marTop w:val="0"/>
              <w:marBottom w:val="0"/>
              <w:divBdr>
                <w:top w:val="none" w:sz="0" w:space="0" w:color="auto"/>
                <w:left w:val="none" w:sz="0" w:space="0" w:color="auto"/>
                <w:bottom w:val="none" w:sz="0" w:space="0" w:color="auto"/>
                <w:right w:val="none" w:sz="0" w:space="0" w:color="auto"/>
              </w:divBdr>
              <w:divsChild>
                <w:div w:id="1043217657">
                  <w:marLeft w:val="0"/>
                  <w:marRight w:val="0"/>
                  <w:marTop w:val="0"/>
                  <w:marBottom w:val="0"/>
                  <w:divBdr>
                    <w:top w:val="none" w:sz="0" w:space="0" w:color="auto"/>
                    <w:left w:val="none" w:sz="0" w:space="0" w:color="auto"/>
                    <w:bottom w:val="none" w:sz="0" w:space="0" w:color="auto"/>
                    <w:right w:val="none" w:sz="0" w:space="0" w:color="auto"/>
                  </w:divBdr>
                  <w:divsChild>
                    <w:div w:id="538250029">
                      <w:marLeft w:val="0"/>
                      <w:marRight w:val="0"/>
                      <w:marTop w:val="0"/>
                      <w:marBottom w:val="120"/>
                      <w:divBdr>
                        <w:top w:val="single" w:sz="6" w:space="0" w:color="F5F5F5"/>
                        <w:left w:val="single" w:sz="6" w:space="0" w:color="F5F5F5"/>
                        <w:bottom w:val="single" w:sz="6" w:space="0" w:color="F5F5F5"/>
                        <w:right w:val="single" w:sz="6" w:space="0" w:color="F5F5F5"/>
                      </w:divBdr>
                      <w:divsChild>
                        <w:div w:id="1505389943">
                          <w:marLeft w:val="0"/>
                          <w:marRight w:val="0"/>
                          <w:marTop w:val="0"/>
                          <w:marBottom w:val="0"/>
                          <w:divBdr>
                            <w:top w:val="none" w:sz="0" w:space="0" w:color="auto"/>
                            <w:left w:val="none" w:sz="0" w:space="0" w:color="auto"/>
                            <w:bottom w:val="none" w:sz="0" w:space="0" w:color="auto"/>
                            <w:right w:val="none" w:sz="0" w:space="0" w:color="auto"/>
                          </w:divBdr>
                          <w:divsChild>
                            <w:div w:id="209820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386569">
      <w:bodyDiv w:val="1"/>
      <w:marLeft w:val="0"/>
      <w:marRight w:val="0"/>
      <w:marTop w:val="0"/>
      <w:marBottom w:val="0"/>
      <w:divBdr>
        <w:top w:val="none" w:sz="0" w:space="0" w:color="auto"/>
        <w:left w:val="none" w:sz="0" w:space="0" w:color="auto"/>
        <w:bottom w:val="none" w:sz="0" w:space="0" w:color="auto"/>
        <w:right w:val="none" w:sz="0" w:space="0" w:color="auto"/>
      </w:divBdr>
    </w:div>
    <w:div w:id="1522863067">
      <w:bodyDiv w:val="1"/>
      <w:marLeft w:val="0"/>
      <w:marRight w:val="0"/>
      <w:marTop w:val="0"/>
      <w:marBottom w:val="0"/>
      <w:divBdr>
        <w:top w:val="none" w:sz="0" w:space="0" w:color="auto"/>
        <w:left w:val="none" w:sz="0" w:space="0" w:color="auto"/>
        <w:bottom w:val="none" w:sz="0" w:space="0" w:color="auto"/>
        <w:right w:val="none" w:sz="0" w:space="0" w:color="auto"/>
      </w:divBdr>
    </w:div>
    <w:div w:id="1905404881">
      <w:bodyDiv w:val="1"/>
      <w:marLeft w:val="0"/>
      <w:marRight w:val="0"/>
      <w:marTop w:val="0"/>
      <w:marBottom w:val="0"/>
      <w:divBdr>
        <w:top w:val="none" w:sz="0" w:space="0" w:color="auto"/>
        <w:left w:val="none" w:sz="0" w:space="0" w:color="auto"/>
        <w:bottom w:val="none" w:sz="0" w:space="0" w:color="auto"/>
        <w:right w:val="none" w:sz="0" w:space="0" w:color="auto"/>
      </w:divBdr>
    </w:div>
    <w:div w:id="1981300831">
      <w:bodyDiv w:val="1"/>
      <w:marLeft w:val="0"/>
      <w:marRight w:val="0"/>
      <w:marTop w:val="0"/>
      <w:marBottom w:val="0"/>
      <w:divBdr>
        <w:top w:val="none" w:sz="0" w:space="0" w:color="auto"/>
        <w:left w:val="none" w:sz="0" w:space="0" w:color="auto"/>
        <w:bottom w:val="none" w:sz="0" w:space="0" w:color="auto"/>
        <w:right w:val="none" w:sz="0" w:space="0" w:color="auto"/>
      </w:divBdr>
      <w:divsChild>
        <w:div w:id="1900746698">
          <w:marLeft w:val="0"/>
          <w:marRight w:val="0"/>
          <w:marTop w:val="0"/>
          <w:marBottom w:val="0"/>
          <w:divBdr>
            <w:top w:val="none" w:sz="0" w:space="0" w:color="auto"/>
            <w:left w:val="none" w:sz="0" w:space="0" w:color="auto"/>
            <w:bottom w:val="none" w:sz="0" w:space="0" w:color="auto"/>
            <w:right w:val="none" w:sz="0" w:space="0" w:color="auto"/>
          </w:divBdr>
          <w:divsChild>
            <w:div w:id="2026785810">
              <w:marLeft w:val="0"/>
              <w:marRight w:val="60"/>
              <w:marTop w:val="0"/>
              <w:marBottom w:val="0"/>
              <w:divBdr>
                <w:top w:val="none" w:sz="0" w:space="0" w:color="auto"/>
                <w:left w:val="none" w:sz="0" w:space="0" w:color="auto"/>
                <w:bottom w:val="none" w:sz="0" w:space="0" w:color="auto"/>
                <w:right w:val="none" w:sz="0" w:space="0" w:color="auto"/>
              </w:divBdr>
              <w:divsChild>
                <w:div w:id="1081953367">
                  <w:marLeft w:val="0"/>
                  <w:marRight w:val="0"/>
                  <w:marTop w:val="0"/>
                  <w:marBottom w:val="120"/>
                  <w:divBdr>
                    <w:top w:val="single" w:sz="6" w:space="0" w:color="C0C0C0"/>
                    <w:left w:val="single" w:sz="6" w:space="0" w:color="D9D9D9"/>
                    <w:bottom w:val="single" w:sz="6" w:space="0" w:color="D9D9D9"/>
                    <w:right w:val="single" w:sz="6" w:space="0" w:color="D9D9D9"/>
                  </w:divBdr>
                  <w:divsChild>
                    <w:div w:id="203059562">
                      <w:marLeft w:val="0"/>
                      <w:marRight w:val="0"/>
                      <w:marTop w:val="0"/>
                      <w:marBottom w:val="0"/>
                      <w:divBdr>
                        <w:top w:val="none" w:sz="0" w:space="0" w:color="auto"/>
                        <w:left w:val="none" w:sz="0" w:space="0" w:color="auto"/>
                        <w:bottom w:val="none" w:sz="0" w:space="0" w:color="auto"/>
                        <w:right w:val="none" w:sz="0" w:space="0" w:color="auto"/>
                      </w:divBdr>
                    </w:div>
                    <w:div w:id="632948204">
                      <w:marLeft w:val="0"/>
                      <w:marRight w:val="0"/>
                      <w:marTop w:val="0"/>
                      <w:marBottom w:val="0"/>
                      <w:divBdr>
                        <w:top w:val="none" w:sz="0" w:space="0" w:color="auto"/>
                        <w:left w:val="none" w:sz="0" w:space="0" w:color="auto"/>
                        <w:bottom w:val="none" w:sz="0" w:space="0" w:color="auto"/>
                        <w:right w:val="none" w:sz="0" w:space="0" w:color="auto"/>
                      </w:divBdr>
                    </w:div>
                  </w:divsChild>
                </w:div>
                <w:div w:id="120228140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617876487">
          <w:marLeft w:val="0"/>
          <w:marRight w:val="0"/>
          <w:marTop w:val="0"/>
          <w:marBottom w:val="0"/>
          <w:divBdr>
            <w:top w:val="none" w:sz="0" w:space="0" w:color="auto"/>
            <w:left w:val="none" w:sz="0" w:space="0" w:color="auto"/>
            <w:bottom w:val="none" w:sz="0" w:space="0" w:color="auto"/>
            <w:right w:val="none" w:sz="0" w:space="0" w:color="auto"/>
          </w:divBdr>
          <w:divsChild>
            <w:div w:id="1480541113">
              <w:marLeft w:val="60"/>
              <w:marRight w:val="0"/>
              <w:marTop w:val="0"/>
              <w:marBottom w:val="0"/>
              <w:divBdr>
                <w:top w:val="none" w:sz="0" w:space="0" w:color="auto"/>
                <w:left w:val="none" w:sz="0" w:space="0" w:color="auto"/>
                <w:bottom w:val="none" w:sz="0" w:space="0" w:color="auto"/>
                <w:right w:val="none" w:sz="0" w:space="0" w:color="auto"/>
              </w:divBdr>
              <w:divsChild>
                <w:div w:id="1238127080">
                  <w:marLeft w:val="0"/>
                  <w:marRight w:val="0"/>
                  <w:marTop w:val="0"/>
                  <w:marBottom w:val="0"/>
                  <w:divBdr>
                    <w:top w:val="none" w:sz="0" w:space="0" w:color="auto"/>
                    <w:left w:val="none" w:sz="0" w:space="0" w:color="auto"/>
                    <w:bottom w:val="none" w:sz="0" w:space="0" w:color="auto"/>
                    <w:right w:val="none" w:sz="0" w:space="0" w:color="auto"/>
                  </w:divBdr>
                  <w:divsChild>
                    <w:div w:id="700859062">
                      <w:marLeft w:val="0"/>
                      <w:marRight w:val="0"/>
                      <w:marTop w:val="0"/>
                      <w:marBottom w:val="120"/>
                      <w:divBdr>
                        <w:top w:val="single" w:sz="6" w:space="0" w:color="F5F5F5"/>
                        <w:left w:val="single" w:sz="6" w:space="0" w:color="F5F5F5"/>
                        <w:bottom w:val="single" w:sz="6" w:space="0" w:color="F5F5F5"/>
                        <w:right w:val="single" w:sz="6" w:space="0" w:color="F5F5F5"/>
                      </w:divBdr>
                      <w:divsChild>
                        <w:div w:id="2131849789">
                          <w:marLeft w:val="0"/>
                          <w:marRight w:val="0"/>
                          <w:marTop w:val="0"/>
                          <w:marBottom w:val="0"/>
                          <w:divBdr>
                            <w:top w:val="none" w:sz="0" w:space="0" w:color="auto"/>
                            <w:left w:val="none" w:sz="0" w:space="0" w:color="auto"/>
                            <w:bottom w:val="none" w:sz="0" w:space="0" w:color="auto"/>
                            <w:right w:val="none" w:sz="0" w:space="0" w:color="auto"/>
                          </w:divBdr>
                          <w:divsChild>
                            <w:div w:id="95101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116DE-ABF4-4F2D-8F6D-C160A13C8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1652</TotalTime>
  <Pages>6</Pages>
  <Words>1825</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dcterms:created xsi:type="dcterms:W3CDTF">2017-08-07T12:01:00Z</dcterms:created>
  <dcterms:modified xsi:type="dcterms:W3CDTF">2017-09-11T11:32:00Z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(3)sgy71IY11WkCMN48pv85U7VK/uNNL77A+qjQeXW+ZYP0d36/yXcPjGdf/T8s4ntb/jNIkfCt
RIfoZhtQer0VazhqMr9bUbd6Nme5qaaeWq0BNKnGJUMVVz84lebQmEsEYEIgFAF+2iFWkdaa
n9LW3RYwiQOCBkO2h3oYnmg2F9GPRvjKIPaPMAa9ngNxtpHbrOFHI/Oq/Lo73qiCnK7EvvZz
ljzOHkjs4vX7vFg/A8</vt:lpwstr>
  </property>
  <property fmtid="{D5CDD505-2E9C-101B-9397-08002B2CF9AE}" pid="3" name="_2015_ms_pID_7253431">
    <vt:lpwstr>eX9+WrmwXuzMVFn61xdTWnoMywKJk9kEr5tUq1aJowe/qlua3NK3bg
1TeTV29XMCd8AA017CJEPOnAlPkQxSXwYCsl/UW1JQ3CqK/XpDtErRdKGQq+3zBTCYVPTgne
Ukf4pTt/UrSIxSNyx23E8RMA3p9Zqt3RpM618BiJEQCEgAlALWyg5gBow3UDSDztLXHHtjAv
Pv4x3+OCh6Wn9c9ks9MhLPzxDD9fseyAggOH</vt:lpwstr>
  </property>
  <property fmtid="{D5CDD505-2E9C-101B-9397-08002B2CF9AE}" pid="4" name="_2015_ms_pID_7253432">
    <vt:lpwstr>rQ==</vt:lpwstr>
  </property>
</Properties>
</file>